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CASH TRANSACTION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HSV2-DCT-2026-04-16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2026-04-16,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task in the Asana base that references cash activity (AED amounts, walk-in purchases, linked cash transactions) as of 2026-04-16. It is produced so that any item approaching the cash transaction threshold specified by the DPMSR framework can be reviewed by the MLRO before the day ends.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Tasks referencing cash activity:            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cash file today:      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16/04/2026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15/04/2026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14/04/2026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13/04/2026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12/04/2026 | P&amp;L…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AED 55K Threshold Monitor — 0 breaches 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 Governance Watchdog          Daily AI Governance Self-Audit — regula…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July 2026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August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Septembe…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October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November…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December…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May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June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July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Augus…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Septe…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MADISON LLC — MLRO Monthly Report | May…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MADISON LLC — MLRO Monthly Report | Jun…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GRAMALTIN AS — MLRO Monthly Report | Ma…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GRAMALTIN AS — MLRO Monthly Report |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NAPLES LLC — MLRO Monthly Report | May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NAPLES LLC — MLRO Monthly Report | June…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ZOE FZE — MLRO Monthly Report | May 2026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ZOE FZE — MLRO Monthly Report | June 20…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🚨 MLRO Central - Blocked Acr…  Freeze Protocol Registry — 24h EOCN cou…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[P2] Register firm with UAE FIU goAML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[QUARTERLY] MLRO Board report —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[MONTHLY] Run /kpi-report → file with 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[WEEKLY] Run /audit skill → review past…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is asked to verify whether any of the cash files listed above meets the DPMSR filing trigger for the rolling 30-day window on a linked transaction basis. The automation does not make that determination; the MLRO does.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