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MONITORING REPORT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HSV2-TXM-2026-04-09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Monitoring run 2026-04-09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SCOPE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 processed 0 transaction(s) from the transaction register today.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Each transaction was tested against eight rule-based detection patterns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plus a rolling thirty-day cash aggregation check per counterparty.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DETECTION RULES APPLIED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1. DPMSR trigger: cash component at or above the reporting threshold.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2. Structuring indicator: cash component just below the threshold.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3. Round amount: total consideration is a round figure (AED 10k increments).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4. High-risk jurisdiction: counterparty or transaction linked to a FATF grey-list or sanctioned jurisdiction.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5. All-cash settlement: entire transaction settled in cash above AED 15,000.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6. Same-day aggregation: multiple transactions with the same counterparty on the same day exceeding the threshold in aggregate.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7. Rapid frequency: three or more transactions with the same counterparty within seven days.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8. Unusual payment method: hawala, cryptocurrency, virtual currency, bearer instrument.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9. Rolling thirty-day aggregation: cumulative cash across all transactions with the same counterparty over any thirty-day window.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SUMMARY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Metric                        Count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  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transactions processed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Transactions flagged       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30-day alerts      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distinct alerts         0   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ALERTS BY RULE TYPE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alerts triggered today.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NEXT ACTIONS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alerts. File this monitoring record. Repeat tomorrow.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