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CASH TRANSACTION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HSV2-DCT-2026-04-08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2026-04-08,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All active compliance programmes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task in the Asana base that references cash activity (AED amounts, walk-in purchases, linked cash transactions) as of 2026-04-08. It is produced so that any item approaching the cash transaction threshold specified by the DPMSR framework can be reviewed by the MLRO before the day ends.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ACTIVITY OBSERVED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Tasks referencing cash activity:            295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carrying a cash file today:      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TASK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MOE-01 | Cash Transaction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MOE-03 | UBO Register and CR…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MOE-04 | DPMS Occasional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MOE-12 | DPMS-Specific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🟢 R-01 | Quarterly goAML DPMS Activity…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MOE-08 | goAML DPMS Module Full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TRN-23 | DPMS Reporting and Regulatory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MOE-01 | Cash Transaction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MOE-03 | UBO Register and CR…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MOE-04 | DPMS Occasional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MOE-12 | DPMS-Specific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MOE-01 | Cash Transaction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MOE-03 | UBO Register and CR…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MOE-04 | DPMS Occasional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MOE-12 | DPMS-Specific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MOE-01 | Cash Transaction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MOE-03 | UBO Register and CR…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MOE-04 | DPMS Occasional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MOE-12 | DPMS-Specific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GAP-006 | Update Transaction Monitoring…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MOE-01 | Cash Transaction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MOE-03 | UBO Register and CR…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MOE-04 | DPMS Occasional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MOE-12 | DPMS-Specific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PROC-01 | Cash Transaction Report (C…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PROC-03 | UBO Register and CRA Form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PROC-04 | DPMS Occasional Transactio…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🔵 PROC-12 | DPMS-Specific Red Flag Ind…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GAP-006 | Update Transaction Monitoring…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🟢 R-01 | Quarterly goAML DPMS Activity…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C-01 | Deploy goAML DPMS Module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🔵 OPS-41 | Master Regulatory Reporting…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MOE-01 | DPMS Registration and Annua…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MOE-05 | Administrative Penalties Fr…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MOE-08 | goAML DPMS Module Full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MOE-09 | MOE Circular and NAMLCFTC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TRN-18 | UAE FIU DPMS Typologies (2025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TRN-23 | DPMS Reporting and Regulatory 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MLRO is asked to verify whether any of the cash files listed above meets the DPMSR filing trigger for the rolling 30-day window on a linked transaction basis. The automation does not make that determination; the MLRO does.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