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PEP WATCH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HSV2-DPL-2026-04-08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2026-04-08,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Politically Exposed Person file currently under active monitoring across the six active compliance programmes as of 2026-04-08. It is produced directly from the Asana task base and is intended to give the MLRO a one-page view of the firm's PEP population and any movements observed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PEP files currently under EDD:        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PEP file:             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FILE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 AS - COMPLIANCE PRO…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 FZE - COMPLIANCE PROGRAMM…  TRN-09 | PEP and UBO Identification Tra…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⚠ CDD-CRITICAL: VAT Compliance for Prec…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NRA-RF09 | NRA: PEP Exposure in DPMS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RF-M09 | State-Owned Mine and Governmen…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RF-08 | PEP-Specific Red Flags for DPMS…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ACEP-18 | CT-005: Sanctions, TFS…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[High] OEC-29 | Government Official Hos…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🔵 M-04 | NPO and Politically Connected…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H-02 | PEP Screening Programme and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H-05 | New Customer Onboarding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🔴 OPS-17 | EDD Trigger Events and Enha…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🟡 OPS-22 | PEP Ongoing Monitoring and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PROGRAMME…  TRN-09 | PEP and UBO Identification Tra…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PEP-tagged task open in the Asana workspace at the time of this run is represented in the log above, and that the list has not been filtered or redacted.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