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2026-04-08.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357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GAP-008 | Conduct Annual AML/CFT Traini…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PROC-08 | Staff Fitness and Propriet…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M-02 | Regulatory Change Monitoring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