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CHANGE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HSV2-REG-IMPACT-2026-04-16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Regulatory monitoring day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impact assessment covers 2 regulatory change(s) detected by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regulatory-watcher on 2026-04-16. Each change is classified by its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potential impact on the firm's AML/CFT controls, procedures and training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materials. The MLRO must review each classification and record a formal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action where warranted.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 impact  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 impact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Low impact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changes assessed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  Executive Office for Cont  high    Change from a primary sanctions or standard-setting body. May require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  Ministry of Economy  medium  Change from a supervisory authority. May require updates to internal 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REQUIRED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HIGH: Every high-impact change must be reviewed by the MLRO within one business day. Open a task in the compliance workspace with a clear owner, deadline and remediation plan.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MEDIUM: Every medium-impact change must be reviewed within five business days. Update internal procedures, training materials or reporting templates as needed.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low-impact changes detected.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 all response actions and retain this assessment for the full ten-year retention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