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MONITORING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HSV2-TXM-2026-04-08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run 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processed 0 transaction(s) from the transaction register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Each transaction was tested against eight rule-based detection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plus a rolling thirty-day cash aggregation check per counterparty.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DETECTION RULES APPLIED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DPMSR trigger: cash component at or above the reporting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Structuring indicator: cash component just below the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Round amount: total consideration is a round figure (AED 10k increments).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High-risk jurisdiction: counterparty or transaction linked to a FATF grey-list or sanctioned jurisdiction.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All-cash settlement: entire transaction settled in cash above AED 15,000.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6. Same-day aggregation: multiple transactions with the same counterparty on the same day exceeding the threshold in aggregate.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7. Rapid frequency: three or more transactions with the same counterparty within seven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8. Unusual payment method: hawala, cryptocurrency, virtual currency, bearer instrument.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9. Rolling thirty-day aggregation: cumulative cash across all transactions with the same counterparty over any thirty-day window.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transactions processed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Transactions flagged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30-day alerts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distinct alerts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ALERTS BY RULE TYPE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 triggered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alerts. File this monitoring record. Repeat tomorrow.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