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188F6BEF" w14:textId="77777777" w:rsidR="002C43C2" w:rsidRPr="00E95A81" w:rsidRDefault="00000000">
      <w:pPr>
        <w:pStyle w:val="Heading1"/>
        <w:rPr>
          <w:b/>
          <w:bCs/>
          <w:sz w:val="32"/>
          <w:szCs w:val="32"/>
        </w:rPr>
      </w:pPr>
      <w:bookmarkStart w:id="0" w:name="header"/>
      <w:bookmarkStart w:id="1" w:name="X89c9cdc055ebf29606d342d688336b247d9ac58"/>
      <w:bookmarkStart w:id="2" w:name="content"/>
      <w:bookmarkEnd w:id="0"/>
      <w:r w:rsidRPr="00E95A81">
        <w:rPr>
          <w:b/>
          <w:bCs/>
          <w:sz w:val="32"/>
          <w:szCs w:val="32"/>
        </w:rPr>
        <w:t>ESIS Research Proposal Deep Analysis and Enhancement Report</w:t>
      </w:r>
    </w:p>
    <w:p w14:paraId="512C7F2C" w14:textId="34A2DB3C" w:rsidR="002C43C2" w:rsidRDefault="00000000">
      <w:pPr>
        <w:pStyle w:val="Heading2"/>
      </w:pPr>
      <w:bookmarkStart w:id="3" w:name="Xe94660485e43219f105c644321d02208684a57d"/>
      <w:r>
        <w:t xml:space="preserve">Evidence Base for an Immediate </w:t>
      </w:r>
      <w:r w:rsidR="00E95A81">
        <w:t>Safety-First</w:t>
      </w:r>
      <w:r>
        <w:t xml:space="preserve"> Approach</w:t>
      </w:r>
    </w:p>
    <w:p w14:paraId="3317A289" w14:textId="33FAE4A7" w:rsidR="002C43C2" w:rsidRDefault="00251355">
      <w:pPr>
        <w:pStyle w:val="FirstParagraph"/>
      </w:pPr>
      <w:r w:rsidRPr="00251355">
        <w:rPr>
          <w:b/>
          <w:bCs/>
        </w:rPr>
        <w:t>Why is the first research paper draft</w:t>
      </w:r>
      <w:r w:rsidR="00000000" w:rsidRPr="00251355">
        <w:rPr>
          <w:b/>
          <w:bCs/>
        </w:rPr>
        <w:t xml:space="preserve"> correct about the core asymmetry:</w:t>
      </w:r>
      <w:r w:rsidR="00000000">
        <w:t xml:space="preserve"> </w:t>
      </w:r>
      <w:r>
        <w:br/>
        <w:t>T</w:t>
      </w:r>
      <w:r w:rsidR="00000000">
        <w:t xml:space="preserve">he most severe housing and health crises tend to happen under conditions of low connectivity, low trust, and high urgency—exactly where cloud-first AI fails. This is not theoretical. Public health literature consistently finds </w:t>
      </w:r>
      <w:r w:rsidR="00000000">
        <w:rPr>
          <w:b/>
          <w:bCs/>
        </w:rPr>
        <w:t>substantially elevated mortality risk</w:t>
      </w:r>
      <w:r w:rsidR="00000000">
        <w:t xml:space="preserve"> among people who experience homelessness, particularly among those who are unsheltered. A recent U.S. estimate reported that homeless individuals face </w:t>
      </w:r>
      <w:r w:rsidR="00000000">
        <w:rPr>
          <w:b/>
          <w:bCs/>
        </w:rPr>
        <w:t>multiple times the mortality rate</w:t>
      </w:r>
      <w:r w:rsidR="00000000">
        <w:t xml:space="preserve"> of housed individuals even after accounting for observable differences; the same research emphasizes the magnitude of this disparity relative to other well-known mortality gaps. </w:t>
      </w:r>
      <w:hyperlink r:id="rId7">
        <w:r w:rsidR="00000000">
          <w:rPr>
            <w:rStyle w:val="Hyperlink"/>
          </w:rPr>
          <w:t>[1]</w:t>
        </w:r>
      </w:hyperlink>
      <w:r w:rsidR="00000000">
        <w:t xml:space="preserve"> A major review of unsheltered homelessness and health reports substantially higher mortality for unsheltered cohorts, and describes common causes of death among unsheltered populations that include injuries, chronic disease, and substance use. </w:t>
      </w:r>
      <w:hyperlink r:id="rId8">
        <w:r w:rsidR="00000000">
          <w:rPr>
            <w:rStyle w:val="Hyperlink"/>
          </w:rPr>
          <w:t>[2]</w:t>
        </w:r>
      </w:hyperlink>
    </w:p>
    <w:p w14:paraId="2CC33CA9" w14:textId="77777777" w:rsidR="002C43C2" w:rsidRDefault="00000000">
      <w:pPr>
        <w:pStyle w:val="BodyText"/>
      </w:pPr>
      <w:r>
        <w:t>This national evidence aligns with local “death review” approaches that some communities use to quantify preventable loss. For example, public reporting in Denver</w:t>
      </w:r>
      <w:hyperlink r:id="rId9">
        <w:r>
          <w:rPr>
            <w:rStyle w:val="Hyperlink"/>
          </w:rPr>
          <w:t>[3]</w:t>
        </w:r>
      </w:hyperlink>
      <w:r>
        <w:t xml:space="preserve"> documents hundreds of deaths among people experiencing homelessness each year; one report notes 225 deaths in 2024 and describes overdose as a leading cause, with additional increases in suicide that require close monitoring. </w:t>
      </w:r>
      <w:hyperlink r:id="rId10">
        <w:r>
          <w:rPr>
            <w:rStyle w:val="Hyperlink"/>
          </w:rPr>
          <w:t>[4]</w:t>
        </w:r>
      </w:hyperlink>
      <w:r>
        <w:t xml:space="preserve"> Another report notes 227 deaths recorded in 2025 and contextualizes the pattern across recent years. </w:t>
      </w:r>
      <w:hyperlink r:id="rId11">
        <w:r>
          <w:rPr>
            <w:rStyle w:val="Hyperlink"/>
          </w:rPr>
          <w:t>[5]</w:t>
        </w:r>
      </w:hyperlink>
      <w:r>
        <w:t xml:space="preserve"> These are precisely the conditions under which “decision support” needs to behave like an </w:t>
      </w:r>
      <w:r>
        <w:rPr>
          <w:b/>
          <w:bCs/>
        </w:rPr>
        <w:t>always-on safety system</w:t>
      </w:r>
      <w:r>
        <w:t>: rapid triage, reliable escalation, and minimization of exposure to lethal environments.</w:t>
      </w:r>
    </w:p>
    <w:p w14:paraId="58FADF88" w14:textId="77777777" w:rsidR="002C43C2" w:rsidRDefault="00000000">
      <w:pPr>
        <w:pStyle w:val="BodyText"/>
      </w:pPr>
      <w:r>
        <w:t>The strongest evidence-backed interventions relevant to ESIS’s “immediate stabilization → durable exit” goal cluster into three categories:</w:t>
      </w:r>
    </w:p>
    <w:p w14:paraId="2B5E50D4" w14:textId="77777777" w:rsidR="002C43C2" w:rsidRDefault="00000000">
      <w:pPr>
        <w:pStyle w:val="BodyText"/>
      </w:pPr>
      <w:r>
        <w:t xml:space="preserve">First, </w:t>
      </w:r>
      <w:r>
        <w:rPr>
          <w:b/>
          <w:bCs/>
        </w:rPr>
        <w:t>Housing First / Permanent Supportive Housing (PSH)</w:t>
      </w:r>
      <w:r>
        <w:t xml:space="preserve"> is associated with improved housing stability and reductions in homelessness compared to treatment-first approaches across multiple studies and reviews. </w:t>
      </w:r>
      <w:hyperlink r:id="rId12">
        <w:r>
          <w:rPr>
            <w:rStyle w:val="Hyperlink"/>
          </w:rPr>
          <w:t>[6]</w:t>
        </w:r>
      </w:hyperlink>
      <w:r>
        <w:t xml:space="preserve"> Economic evidence reviews also suggest that, in U.S. contexts, benefits can exceed program costs, though studies vary in design quality and conclusions. </w:t>
      </w:r>
      <w:hyperlink r:id="rId13">
        <w:r>
          <w:rPr>
            <w:rStyle w:val="Hyperlink"/>
          </w:rPr>
          <w:t>[7]</w:t>
        </w:r>
      </w:hyperlink>
      <w:r>
        <w:t xml:space="preserve"> At the same time, mortality outcomes in supportive housing trials are not uniformly improved; recent analyses highlight that some randomized or controlled studies showed persistently high mortality in both treatment and control groups, which means “housing placement” alone is not a full safety system unless paired with health protection, continuity of care, and overdose/suicide prevention layers. </w:t>
      </w:r>
      <w:hyperlink r:id="rId14">
        <w:r>
          <w:rPr>
            <w:rStyle w:val="Hyperlink"/>
          </w:rPr>
          <w:t>[8]</w:t>
        </w:r>
      </w:hyperlink>
    </w:p>
    <w:p w14:paraId="5C4FA87C" w14:textId="0113A367" w:rsidR="002C43C2" w:rsidRDefault="00000000">
      <w:pPr>
        <w:pStyle w:val="BodyText"/>
      </w:pPr>
      <w:r>
        <w:t xml:space="preserve">Second, </w:t>
      </w:r>
      <w:r>
        <w:rPr>
          <w:b/>
          <w:bCs/>
        </w:rPr>
        <w:t>medical respite / recuperative care</w:t>
      </w:r>
      <w:r>
        <w:t xml:space="preserve"> has a growing evidence base linking it to reduced readmissions and improved utilization outcomes for people experiencing homelessness discharged from hospitals. A frequently cited cohort study examined post-hospital discharge to respite and its association with reduced readmission risk. </w:t>
      </w:r>
      <w:hyperlink r:id="rId15">
        <w:r>
          <w:rPr>
            <w:rStyle w:val="Hyperlink"/>
          </w:rPr>
          <w:t>[9]</w:t>
        </w:r>
      </w:hyperlink>
      <w:r>
        <w:t xml:space="preserve"> Health </w:t>
      </w:r>
      <w:r>
        <w:lastRenderedPageBreak/>
        <w:t xml:space="preserve">policy and program reviews summarize additional evidence that medical respite can reduce ED visits/readmissions and serve as a bridge to longer-term care and housing pathways. </w:t>
      </w:r>
      <w:hyperlink r:id="rId16">
        <w:r>
          <w:rPr>
            <w:rStyle w:val="Hyperlink"/>
          </w:rPr>
          <w:t>[10]</w:t>
        </w:r>
      </w:hyperlink>
      <w:r>
        <w:t xml:space="preserve"> </w:t>
      </w:r>
      <w:proofErr w:type="gramStart"/>
      <w:r>
        <w:t>This matters</w:t>
      </w:r>
      <w:proofErr w:type="gramEnd"/>
      <w:r>
        <w:t xml:space="preserve"> directly for </w:t>
      </w:r>
      <w:r w:rsidR="00251355">
        <w:t>the</w:t>
      </w:r>
      <w:r>
        <w:t xml:space="preserve"> first skit: the “danger zone” is often the discharge boundary between acute care and the street.</w:t>
      </w:r>
    </w:p>
    <w:p w14:paraId="76FF8438" w14:textId="77777777" w:rsidR="002C43C2" w:rsidRDefault="00000000">
      <w:pPr>
        <w:pStyle w:val="BodyText"/>
      </w:pPr>
      <w:r>
        <w:t xml:space="preserve">Third, </w:t>
      </w:r>
      <w:r>
        <w:rPr>
          <w:b/>
          <w:bCs/>
        </w:rPr>
        <w:t>non-congregate shelter models</w:t>
      </w:r>
      <w:r>
        <w:t xml:space="preserve"> (including hotel-based shelter during emergencies) are supported by evaluations showing feasibility and public health relevance, and by reports emphasizing safety, privacy, and reduced exposure compared with high-density congregate shelter settings. A statewide evaluation of California’s Roomkey program describes implications including feasibility of non-congregate shelter beyond the pandemic and how to support transitions to permanent housing. </w:t>
      </w:r>
      <w:hyperlink r:id="rId17">
        <w:r>
          <w:rPr>
            <w:rStyle w:val="Hyperlink"/>
          </w:rPr>
          <w:t>[11]</w:t>
        </w:r>
      </w:hyperlink>
      <w:r>
        <w:t xml:space="preserve"> Additional research and policy summaries describe safety and health advantages of hotel/non-congregate models and note reported preferences for privacy and safety compared to congregate shelter conditions. </w:t>
      </w:r>
      <w:hyperlink r:id="rId18">
        <w:r>
          <w:rPr>
            <w:rStyle w:val="Hyperlink"/>
          </w:rPr>
          <w:t>[12]</w:t>
        </w:r>
      </w:hyperlink>
    </w:p>
    <w:p w14:paraId="43805D1E" w14:textId="5574AD26" w:rsidR="002C43C2" w:rsidRDefault="00000000">
      <w:pPr>
        <w:pStyle w:val="BodyText"/>
      </w:pPr>
      <w:r>
        <w:t xml:space="preserve">Taken together, the literature supports a key design enhancement to </w:t>
      </w:r>
      <w:r w:rsidR="00251355">
        <w:t>my first</w:t>
      </w:r>
      <w:r>
        <w:t xml:space="preserve"> proposal:</w:t>
      </w:r>
    </w:p>
    <w:p w14:paraId="2E811CA5" w14:textId="77777777" w:rsidR="002C43C2" w:rsidRDefault="00000000">
      <w:pPr>
        <w:pStyle w:val="BodyText"/>
      </w:pPr>
      <w:r>
        <w:t xml:space="preserve">ESIS should be framed (and engineered) as a </w:t>
      </w:r>
      <w:r>
        <w:rPr>
          <w:b/>
          <w:bCs/>
        </w:rPr>
        <w:t>two-stage life-safety system</w:t>
      </w:r>
      <w:r>
        <w:t>:</w:t>
      </w:r>
    </w:p>
    <w:p w14:paraId="2A34AA21" w14:textId="77777777" w:rsidR="002C43C2" w:rsidRDefault="00000000">
      <w:pPr>
        <w:pStyle w:val="Compact"/>
        <w:numPr>
          <w:ilvl w:val="0"/>
          <w:numId w:val="2"/>
        </w:numPr>
      </w:pPr>
      <w:r>
        <w:rPr>
          <w:b/>
          <w:bCs/>
        </w:rPr>
        <w:t>Stage A: Immediate stabilization</w:t>
      </w:r>
      <w:r>
        <w:t xml:space="preserve"> (minutes to 72 hours): prevent death and irreversible harm (exposure, violence, untreated infection, overdose, suicidal crisis) by rapidly routing to the safest available option (non-congregate where possible) plus clinical escalation when needed.</w:t>
      </w:r>
    </w:p>
    <w:p w14:paraId="416F72B4" w14:textId="77777777" w:rsidR="002C43C2" w:rsidRDefault="00000000">
      <w:pPr>
        <w:pStyle w:val="Compact"/>
        <w:numPr>
          <w:ilvl w:val="0"/>
          <w:numId w:val="2"/>
        </w:numPr>
      </w:pPr>
      <w:r>
        <w:rPr>
          <w:b/>
          <w:bCs/>
        </w:rPr>
        <w:t>Stage B: Durable exit</w:t>
      </w:r>
      <w:r>
        <w:t xml:space="preserve"> (weeks to months): navigate formal systems (Coordinated Entry, PSH/RRH/benefits, clinics) while reducing administrative drop-off, bias, and missed follow-ups.</w:t>
      </w:r>
    </w:p>
    <w:p w14:paraId="6B903E80" w14:textId="77777777" w:rsidR="002C43C2" w:rsidRDefault="00000000">
      <w:pPr>
        <w:pStyle w:val="FirstParagraph"/>
      </w:pPr>
      <w:r>
        <w:t>This framing is critical because mortality risk concentrates in “gaps”: after discharge, after program exits, after theft/loss of documents, and during nights without safe shelter.</w:t>
      </w:r>
    </w:p>
    <w:p w14:paraId="17BAAFE9" w14:textId="77777777" w:rsidR="002C43C2" w:rsidRDefault="00000000">
      <w:pPr>
        <w:pStyle w:val="Heading2"/>
      </w:pPr>
      <w:bookmarkStart w:id="4" w:name="X802d73a1fc18cd04d6c6ea033176aeaf0e174cb"/>
      <w:bookmarkEnd w:id="3"/>
      <w:r>
        <w:t>Scenario-Driven Requirements Using Five Skits</w:t>
      </w:r>
    </w:p>
    <w:p w14:paraId="6FFB3769" w14:textId="4ABBE031" w:rsidR="002C43C2" w:rsidRDefault="00000000">
      <w:pPr>
        <w:pStyle w:val="FirstParagraph"/>
      </w:pPr>
      <w:r>
        <w:t xml:space="preserve">Below are five skits (vignettes) written in the style </w:t>
      </w:r>
      <w:r w:rsidR="00251355">
        <w:t>suggested in the first report</w:t>
      </w:r>
      <w:r>
        <w:t xml:space="preserve">—highly concrete, operational, and “street-corner real.” The purpose is not storytelling for its own sake; it is to derive </w:t>
      </w:r>
      <w:r>
        <w:rPr>
          <w:b/>
          <w:bCs/>
        </w:rPr>
        <w:t>non-negotiable system requirements</w:t>
      </w:r>
      <w:r>
        <w:t xml:space="preserve"> that close the failure modes that keep repeating.</w:t>
      </w:r>
    </w:p>
    <w:p w14:paraId="1389B913" w14:textId="77777777" w:rsidR="002C43C2" w:rsidRDefault="00000000">
      <w:pPr>
        <w:pStyle w:val="Heading3"/>
      </w:pPr>
      <w:bookmarkStart w:id="5" w:name="X18eda3a72db942bd28072681cdb719703cd0d98"/>
      <w:r>
        <w:t>The midwinter discharge with escalating medical emergency</w:t>
      </w:r>
    </w:p>
    <w:p w14:paraId="258DC02E" w14:textId="77777777" w:rsidR="002C43C2" w:rsidRDefault="00000000">
      <w:pPr>
        <w:pStyle w:val="FirstParagraph"/>
      </w:pPr>
      <w:r>
        <w:t xml:space="preserve">A person is discharged from short-term shelter or respite into freezing conditions. They have severe, escalating pain, limited mobility, and repeated ED visits with incomplete resolution. They have no reliable internet, and theft removes their ability to access documentation, communicate, or advocate for a referral. This skit is exactly the type of “handoff failure” medical respite programs were created to address, and the evidence base emphasizes the value of respite as a bridge between hospital and street. </w:t>
      </w:r>
      <w:hyperlink r:id="rId19">
        <w:r>
          <w:rPr>
            <w:rStyle w:val="Hyperlink"/>
          </w:rPr>
          <w:t>[13]</w:t>
        </w:r>
      </w:hyperlink>
    </w:p>
    <w:p w14:paraId="4A1279FB" w14:textId="77777777" w:rsidR="002C43C2" w:rsidRDefault="00000000">
      <w:pPr>
        <w:pStyle w:val="BodyText"/>
      </w:pPr>
      <w:r>
        <w:rPr>
          <w:b/>
          <w:bCs/>
        </w:rPr>
        <w:lastRenderedPageBreak/>
        <w:t>ESIS requirement derived:</w:t>
      </w:r>
      <w:r>
        <w:t xml:space="preserve"> a “clinical red-flag escalation module” that is conservative, fast, and documentation-generating: - It must detect red flags and produce a structured “why this is urgent” packet (symptom timeline, functional limitations, prior visits, risk factors, current inability to safely recover outdoors). - It must generate scripts for patient advocacy (“I cannot safely discharge to street; I need safe recovery placement”) and checklists for what to request. - It must include a “no-internet” plan: nearest open ED/urgent care, warming centers, and safe ride plan; and a fallback “call emergency services” escalation when necessary. - It must be paired with a “medical respite pathway builder,” grounded in real program constraints and evidence that respite can reduce readmissions and stabilize recovery. </w:t>
      </w:r>
      <w:hyperlink r:id="rId20">
        <w:r>
          <w:rPr>
            <w:rStyle w:val="Hyperlink"/>
          </w:rPr>
          <w:t>[10]</w:t>
        </w:r>
      </w:hyperlink>
    </w:p>
    <w:p w14:paraId="41DE60C9" w14:textId="77777777" w:rsidR="002C43C2" w:rsidRDefault="00000000">
      <w:pPr>
        <w:pStyle w:val="Heading3"/>
      </w:pPr>
      <w:bookmarkStart w:id="6" w:name="Xaa441d7e62c88ecf4d56f17cf1f7314342c9bfe"/>
      <w:bookmarkEnd w:id="5"/>
      <w:r>
        <w:t>The disabled partner with mobility/device/charging barriers</w:t>
      </w:r>
    </w:p>
    <w:p w14:paraId="0B33C741" w14:textId="77777777" w:rsidR="002C43C2" w:rsidRDefault="00000000">
      <w:pPr>
        <w:pStyle w:val="FirstParagraph"/>
      </w:pPr>
      <w:r>
        <w:t>A disabled adult partner relies on assistive needs and cannot tolerate congregate environments due to safety, sleep disruption, trauma triggers, or infection risk. They have sporadic device charging and limited mobile data.</w:t>
      </w:r>
    </w:p>
    <w:p w14:paraId="5C6FBFFC" w14:textId="77777777" w:rsidR="002C43C2" w:rsidRDefault="00000000">
      <w:pPr>
        <w:pStyle w:val="BodyText"/>
      </w:pPr>
      <w:r>
        <w:t xml:space="preserve">Research consistently shows that many people experiencing homelessness have some level of phone access, but barriers such as </w:t>
      </w:r>
      <w:r>
        <w:rPr>
          <w:b/>
          <w:bCs/>
        </w:rPr>
        <w:t>charging, device cost, and data availability</w:t>
      </w:r>
      <w:r>
        <w:t xml:space="preserve"> remain significant—especially among unsheltered people. </w:t>
      </w:r>
      <w:hyperlink r:id="rId21">
        <w:r>
          <w:rPr>
            <w:rStyle w:val="Hyperlink"/>
          </w:rPr>
          <w:t>[14]</w:t>
        </w:r>
      </w:hyperlink>
    </w:p>
    <w:p w14:paraId="4625094D" w14:textId="77777777" w:rsidR="002C43C2" w:rsidRDefault="00000000">
      <w:pPr>
        <w:pStyle w:val="BodyText"/>
      </w:pPr>
      <w:r>
        <w:rPr>
          <w:b/>
          <w:bCs/>
        </w:rPr>
        <w:t>ESIS requirement derived:</w:t>
      </w:r>
      <w:r>
        <w:t xml:space="preserve"> “offline-first accessibility + power resilience”: - Voice-first interaction (low literacy, low dexterity). - Zero-login mode. No fragile accounts. - A “battery-aware” experience: low-power UI, precomputed local indexes, and a predictable “safe mode.” - A “charging map + routine” feature: known charging locations, hours, and safety notes locally cached. - A non-congregate preference constraint: when multiple shelter/stabilization options exist, privilege private and low-density settings where feasible, consistent with evidence and lived safety concerns. </w:t>
      </w:r>
      <w:hyperlink r:id="rId22">
        <w:r>
          <w:rPr>
            <w:rStyle w:val="Hyperlink"/>
          </w:rPr>
          <w:t>[15]</w:t>
        </w:r>
      </w:hyperlink>
    </w:p>
    <w:p w14:paraId="15E2B840" w14:textId="77777777" w:rsidR="002C43C2" w:rsidRDefault="00000000">
      <w:pPr>
        <w:pStyle w:val="Heading3"/>
      </w:pPr>
      <w:bookmarkStart w:id="7" w:name="Xc6f677299bcb92f1f9dbf485ea7c364e5fb05f4"/>
      <w:bookmarkEnd w:id="6"/>
      <w:r>
        <w:t>The medically complex older adult who deteriorates silently</w:t>
      </w:r>
    </w:p>
    <w:p w14:paraId="35C32A98" w14:textId="77777777" w:rsidR="002C43C2" w:rsidRDefault="00000000">
      <w:pPr>
        <w:pStyle w:val="FirstParagraph"/>
      </w:pPr>
      <w:r>
        <w:t>An older adult with complex orthopedic hardware and chronic pain experiences deterioration until an emergency surgery becomes necessary. They cycle through unsafe recovery environments.</w:t>
      </w:r>
    </w:p>
    <w:p w14:paraId="1B45DDAA" w14:textId="77777777" w:rsidR="002C43C2" w:rsidRDefault="00000000">
      <w:pPr>
        <w:pStyle w:val="BodyText"/>
      </w:pPr>
      <w:r>
        <w:t xml:space="preserve">Evidence syntheses emphasize that shelters that pair integrated services can improve access and outcomes, and that medical respite can act as a stabilizing bridge. </w:t>
      </w:r>
      <w:hyperlink r:id="rId23">
        <w:r>
          <w:rPr>
            <w:rStyle w:val="Hyperlink"/>
          </w:rPr>
          <w:t>[16]</w:t>
        </w:r>
      </w:hyperlink>
    </w:p>
    <w:p w14:paraId="6255916E" w14:textId="77777777" w:rsidR="002C43C2" w:rsidRDefault="00000000">
      <w:pPr>
        <w:pStyle w:val="BodyText"/>
      </w:pPr>
      <w:r>
        <w:rPr>
          <w:b/>
          <w:bCs/>
        </w:rPr>
        <w:t>ESIS requirement derived:</w:t>
      </w:r>
      <w:r>
        <w:t xml:space="preserve"> “continuity-of-care and deterioration detection”: - A structured daily “health + function check” that is quick (30–60 seconds), stored locally, and can be exported as a timeline to clinicians. - A “recover safely” routing logic that prioritizes medical respite or equivalent safe recovery settings when clinical needs exist, because discharge-to-street is a predictable risk amplifier. </w:t>
      </w:r>
      <w:hyperlink r:id="rId24">
        <w:r>
          <w:rPr>
            <w:rStyle w:val="Hyperlink"/>
          </w:rPr>
          <w:t>[13]</w:t>
        </w:r>
      </w:hyperlink>
      <w:r>
        <w:t xml:space="preserve"> - A “care plan executor” that turns a plan into prompts, reminders, and scripts, even while offline.</w:t>
      </w:r>
    </w:p>
    <w:p w14:paraId="07B91E87" w14:textId="77777777" w:rsidR="002C43C2" w:rsidRDefault="00000000">
      <w:pPr>
        <w:pStyle w:val="Heading3"/>
      </w:pPr>
      <w:bookmarkStart w:id="8" w:name="Xab4964421558c5647bd51a8e7d84c9aefc2a060"/>
      <w:bookmarkEnd w:id="7"/>
      <w:r>
        <w:lastRenderedPageBreak/>
        <w:t>The trauma/violence risk crisis that makes congregate unsafe</w:t>
      </w:r>
    </w:p>
    <w:p w14:paraId="63D4D44B" w14:textId="77777777" w:rsidR="002C43C2" w:rsidRDefault="00000000">
      <w:pPr>
        <w:pStyle w:val="FirstParagraph"/>
      </w:pPr>
      <w:r>
        <w:t xml:space="preserve">A person fleeing violence cannot safely enter a congregate shelter and must keep location information controlled. Coordinated Entry rules highlight that victims service providers may use alternative coordinated entry processes rather than the general system, and that nondiscrimination and protections exist in formal guidance. </w:t>
      </w:r>
      <w:hyperlink r:id="rId25">
        <w:r>
          <w:rPr>
            <w:rStyle w:val="Hyperlink"/>
          </w:rPr>
          <w:t>[17]</w:t>
        </w:r>
      </w:hyperlink>
    </w:p>
    <w:p w14:paraId="76E12460" w14:textId="77777777" w:rsidR="002C43C2" w:rsidRDefault="00000000">
      <w:pPr>
        <w:pStyle w:val="BodyText"/>
      </w:pPr>
      <w:r>
        <w:rPr>
          <w:b/>
          <w:bCs/>
        </w:rPr>
        <w:t>ESIS requirement derived:</w:t>
      </w:r>
      <w:r>
        <w:t xml:space="preserve"> “location privacy and safe routing”: - A safety mode that can suppress precise location storage, use coarse routing, and minimize identifiable data. - A “victim-service routing” path that recognizes parallel entry systems and does not force disclosure into unsafe channels, aligned with HUD guidance. </w:t>
      </w:r>
      <w:hyperlink r:id="rId26">
        <w:r>
          <w:rPr>
            <w:rStyle w:val="Hyperlink"/>
          </w:rPr>
          <w:t>[17]</w:t>
        </w:r>
      </w:hyperlink>
      <w:r>
        <w:t xml:space="preserve"> - A “proof packet” generator for protective order resources, safe contacts, and steps—without retaining sensitive details longer than needed.</w:t>
      </w:r>
    </w:p>
    <w:p w14:paraId="363D5CA1" w14:textId="77777777" w:rsidR="002C43C2" w:rsidRDefault="00000000">
      <w:pPr>
        <w:pStyle w:val="Heading3"/>
      </w:pPr>
      <w:bookmarkStart w:id="9" w:name="Xb3f229b91218056d66362ddb90b62be64c06c1a"/>
      <w:bookmarkEnd w:id="8"/>
      <w:r>
        <w:t>The system navigation failure caused by biased or invalid scoring</w:t>
      </w:r>
    </w:p>
    <w:p w14:paraId="6B1759BD" w14:textId="77777777" w:rsidR="002C43C2" w:rsidRDefault="00000000">
      <w:pPr>
        <w:pStyle w:val="FirstParagraph"/>
      </w:pPr>
      <w:r>
        <w:t xml:space="preserve">A person repeatedly fails to be prioritized because the assessment tool and/or its administration embeds bias, invalidity, or trauma-insensitive framing. Multiple sources document criticism of common vulnerability assessment usage, including concerns about validity, reliability, and racial bias, and the way tool scores can become over-weighted in allocation decisions. </w:t>
      </w:r>
      <w:hyperlink r:id="rId27">
        <w:r>
          <w:rPr>
            <w:rStyle w:val="Hyperlink"/>
          </w:rPr>
          <w:t>[18]</w:t>
        </w:r>
      </w:hyperlink>
    </w:p>
    <w:p w14:paraId="79DA8BE9" w14:textId="60A73669" w:rsidR="002C43C2" w:rsidRDefault="00000000">
      <w:pPr>
        <w:pStyle w:val="BodyText"/>
      </w:pPr>
      <w:r>
        <w:rPr>
          <w:b/>
          <w:bCs/>
        </w:rPr>
        <w:t>ESIS requirement derived:</w:t>
      </w:r>
      <w:r>
        <w:t xml:space="preserve"> “equity-aware assessment and explanation”: - ESIS must not simply replicate existing scoring tools. It must support </w:t>
      </w:r>
      <w:r>
        <w:rPr>
          <w:b/>
          <w:bCs/>
        </w:rPr>
        <w:t>client-centered, trauma-informed assessment</w:t>
      </w:r>
      <w:r>
        <w:t xml:space="preserve"> and capture context that typical tools miss. - ESIS must produce transparent explanations: “here is what information drove this recommendation,” and “here is what could change </w:t>
      </w:r>
      <w:r w:rsidR="00251355">
        <w:t>the</w:t>
      </w:r>
      <w:r>
        <w:t xml:space="preserve"> priority for certain pathways.” - ESIS must include a fairness audit layer and human override options, because biased automation can scale harm faster than biased humans.</w:t>
      </w:r>
    </w:p>
    <w:p w14:paraId="50366B58" w14:textId="77777777" w:rsidR="002C43C2" w:rsidRDefault="00000000">
      <w:pPr>
        <w:pStyle w:val="BodyText"/>
      </w:pPr>
      <w:r>
        <w:t xml:space="preserve">These five skits converge on one design conclusion: ESIS must be a </w:t>
      </w:r>
      <w:r>
        <w:rPr>
          <w:b/>
          <w:bCs/>
        </w:rPr>
        <w:t>safety-critical agentic system</w:t>
      </w:r>
      <w:r>
        <w:t xml:space="preserve"> that is (1) offline-capable, (2) clinically conservative in escalation, (3) privacy-locked by default, (4) equity-audited, and (5) operationally grounded in the real housing system’s constraints.</w:t>
      </w:r>
    </w:p>
    <w:p w14:paraId="52C0F8FE" w14:textId="77777777" w:rsidR="002C43C2" w:rsidRDefault="00000000">
      <w:pPr>
        <w:pStyle w:val="Heading2"/>
      </w:pPr>
      <w:bookmarkStart w:id="10" w:name="Xd8fc9bac43bdb3035de48c0901aa9e9c91334b6"/>
      <w:bookmarkEnd w:id="4"/>
      <w:bookmarkEnd w:id="9"/>
      <w:r>
        <w:t>Architecture Enhancements to Move ESIS from Concept to Operational System</w:t>
      </w:r>
    </w:p>
    <w:p w14:paraId="501D02F0" w14:textId="32E049AE" w:rsidR="002C43C2" w:rsidRDefault="00251355">
      <w:pPr>
        <w:pStyle w:val="FirstParagraph"/>
      </w:pPr>
      <w:r>
        <w:t>The first</w:t>
      </w:r>
      <w:r w:rsidR="00000000">
        <w:t xml:space="preserve"> draft’s technical spine—local model inference, state modeling, Monte Carlo simulation, function calling, offline data packs—is sound. The most important enhancements are about the “last mile”: how ESIS interfaces with real systems and avoids fragile assumptions.</w:t>
      </w:r>
    </w:p>
    <w:p w14:paraId="040682CA" w14:textId="77777777" w:rsidR="002C43C2" w:rsidRDefault="00000000">
      <w:pPr>
        <w:pStyle w:val="Heading3"/>
      </w:pPr>
      <w:bookmarkStart w:id="11" w:name="X11674d1cbd6d202148ff2cd8dad75adf0869aeb"/>
      <w:r>
        <w:lastRenderedPageBreak/>
        <w:t>The “offline core + opportunistic sync” pattern</w:t>
      </w:r>
    </w:p>
    <w:p w14:paraId="08D42B72" w14:textId="77777777" w:rsidR="002C43C2" w:rsidRDefault="00000000">
      <w:pPr>
        <w:pStyle w:val="FirstParagraph"/>
      </w:pPr>
      <w:r>
        <w:t>Fully offline operation is essential; however, stable placement depends on data that changes (hours, capacity, policy, contacts). The recommended architecture is:</w:t>
      </w:r>
    </w:p>
    <w:p w14:paraId="4E936065" w14:textId="77777777" w:rsidR="002C43C2" w:rsidRDefault="00000000">
      <w:pPr>
        <w:pStyle w:val="Compact"/>
        <w:numPr>
          <w:ilvl w:val="0"/>
          <w:numId w:val="3"/>
        </w:numPr>
      </w:pPr>
      <w:r>
        <w:rPr>
          <w:b/>
          <w:bCs/>
        </w:rPr>
        <w:t>Offline core:</w:t>
      </w:r>
      <w:r>
        <w:t xml:space="preserve"> planning, triage, document understanding, and local resource indexing on-device.</w:t>
      </w:r>
    </w:p>
    <w:p w14:paraId="06E5F470" w14:textId="77777777" w:rsidR="002C43C2" w:rsidRDefault="00000000">
      <w:pPr>
        <w:pStyle w:val="Compact"/>
        <w:numPr>
          <w:ilvl w:val="0"/>
          <w:numId w:val="3"/>
        </w:numPr>
      </w:pPr>
      <w:r>
        <w:rPr>
          <w:b/>
          <w:bCs/>
        </w:rPr>
        <w:t>Opportunistic sync:</w:t>
      </w:r>
      <w:r>
        <w:t xml:space="preserve"> when connectivity exists (even briefly), ESIS updates data packs, verifies numbers, and optionally submits referrals/messages.</w:t>
      </w:r>
    </w:p>
    <w:p w14:paraId="3EDF15D3" w14:textId="77777777" w:rsidR="002C43C2" w:rsidRDefault="00000000">
      <w:pPr>
        <w:pStyle w:val="FirstParagraph"/>
      </w:pPr>
      <w:r>
        <w:t>This approach aligns with the reality that connectivity is intermittent, not binary.</w:t>
      </w:r>
    </w:p>
    <w:p w14:paraId="0F550EC8" w14:textId="77777777" w:rsidR="002C43C2" w:rsidRDefault="00000000">
      <w:pPr>
        <w:pStyle w:val="Heading3"/>
      </w:pPr>
      <w:bookmarkStart w:id="12" w:name="Xd040256dc31e8f2b16cc8fa3fd24552e6ec9e5f"/>
      <w:bookmarkEnd w:id="11"/>
      <w:r>
        <w:t>Grounding ESIS in the existing homelessness system stack</w:t>
      </w:r>
    </w:p>
    <w:p w14:paraId="4D24BAF0" w14:textId="77777777" w:rsidR="002C43C2" w:rsidRDefault="00000000">
      <w:pPr>
        <w:pStyle w:val="FirstParagraph"/>
      </w:pPr>
      <w:r>
        <w:t xml:space="preserve">The housing system is not just “shelters.” It includes formal workflows such as Coordinated Entry (for standard assessment and referrals) and HMIS data standards (for records and reporting). HUD’s Coordinated Entry Notice establishes requirements and operational expectations for coordinated screening, assessment, and referral processes within Continuums of Care. </w:t>
      </w:r>
      <w:hyperlink r:id="rId28">
        <w:r>
          <w:rPr>
            <w:rStyle w:val="Hyperlink"/>
          </w:rPr>
          <w:t>[17]</w:t>
        </w:r>
      </w:hyperlink>
      <w:r>
        <w:t xml:space="preserve"> HMIS data standards are regularly updated and provide the backbone for consistent, interoperable homelessness program data. </w:t>
      </w:r>
      <w:hyperlink r:id="rId29">
        <w:r>
          <w:rPr>
            <w:rStyle w:val="Hyperlink"/>
          </w:rPr>
          <w:t>[19]</w:t>
        </w:r>
      </w:hyperlink>
    </w:p>
    <w:p w14:paraId="15247071" w14:textId="77777777" w:rsidR="002C43C2" w:rsidRDefault="00000000">
      <w:pPr>
        <w:pStyle w:val="BodyText"/>
      </w:pPr>
      <w:r>
        <w:rPr>
          <w:b/>
          <w:bCs/>
        </w:rPr>
        <w:t>Enhancement:</w:t>
      </w:r>
      <w:r>
        <w:t xml:space="preserve"> ESIS should include a “system interface layer” that can: - Export user-consented summaries in formats compatible with local intake workflows. - Capture the minimum necessary data for referrals while avoiding unnecessary retention. - Track where the user is in the pipeline (“assessment scheduled,” “documents missing,” “case manager follow-up pending”).</w:t>
      </w:r>
    </w:p>
    <w:p w14:paraId="31FA5E11" w14:textId="77777777" w:rsidR="002C43C2" w:rsidRDefault="00000000">
      <w:pPr>
        <w:pStyle w:val="Heading3"/>
      </w:pPr>
      <w:bookmarkStart w:id="13" w:name="X501ba5db58d097263ca6ef340001260f6bbdc66"/>
      <w:bookmarkEnd w:id="12"/>
      <w:r>
        <w:t>Building ESIS around reliable local referral infrastructure</w:t>
      </w:r>
    </w:p>
    <w:p w14:paraId="6CF782CC" w14:textId="77777777" w:rsidR="002C43C2" w:rsidRDefault="00000000">
      <w:pPr>
        <w:pStyle w:val="FirstParagraph"/>
      </w:pPr>
      <w:r>
        <w:t xml:space="preserve">In many regions, the most mature referral layer is 211 (phone/text/web) maintained by United Way affiliates. For example, 211 services emphasize confidential connections to local resources and operate broadly across the U.S., with very large annual request volumes. </w:t>
      </w:r>
      <w:hyperlink r:id="rId30">
        <w:r>
          <w:rPr>
            <w:rStyle w:val="Hyperlink"/>
          </w:rPr>
          <w:t>[20]</w:t>
        </w:r>
      </w:hyperlink>
      <w:r>
        <w:t xml:space="preserve"> Local implementations (such as 211 in Colorado</w:t>
      </w:r>
      <w:hyperlink r:id="rId31">
        <w:r>
          <w:rPr>
            <w:rStyle w:val="Hyperlink"/>
          </w:rPr>
          <w:t>[21]</w:t>
        </w:r>
      </w:hyperlink>
      <w:r>
        <w:t xml:space="preserve">) describe frequently updated databases and multiple access modalities. </w:t>
      </w:r>
      <w:hyperlink r:id="rId32">
        <w:r>
          <w:rPr>
            <w:rStyle w:val="Hyperlink"/>
          </w:rPr>
          <w:t>[22]</w:t>
        </w:r>
      </w:hyperlink>
    </w:p>
    <w:p w14:paraId="6E61B708" w14:textId="77777777" w:rsidR="002C43C2" w:rsidRDefault="00000000">
      <w:pPr>
        <w:pStyle w:val="BodyText"/>
      </w:pPr>
      <w:r>
        <w:rPr>
          <w:b/>
          <w:bCs/>
        </w:rPr>
        <w:t>Enhancement:</w:t>
      </w:r>
      <w:r>
        <w:t xml:space="preserve"> treat 211 directories as a first-class offline data pack source and a first-line “human escalation channel” when the system must hand off to a person.</w:t>
      </w:r>
    </w:p>
    <w:p w14:paraId="35B78F8A" w14:textId="77777777" w:rsidR="002C43C2" w:rsidRDefault="00000000">
      <w:pPr>
        <w:pStyle w:val="Heading3"/>
      </w:pPr>
      <w:bookmarkStart w:id="14" w:name="Xcc28ad55925c4a149e6446ba9a4cd77eeaf6f2e"/>
      <w:bookmarkEnd w:id="13"/>
      <w:r>
        <w:t>Using Gemma 4 for agentic workflows without unsafe automation</w:t>
      </w:r>
    </w:p>
    <w:p w14:paraId="5E0A6EAF" w14:textId="77777777" w:rsidR="002C43C2" w:rsidRDefault="00000000">
      <w:pPr>
        <w:pStyle w:val="FirstParagraph"/>
      </w:pPr>
      <w:r>
        <w:t xml:space="preserve">Gemma 4’s value proposition for ESIS is not “chat.” It is on-device reasoning plus structured tool use. Official documentation emphasizes </w:t>
      </w:r>
      <w:r>
        <w:rPr>
          <w:b/>
          <w:bCs/>
        </w:rPr>
        <w:t>function calling</w:t>
      </w:r>
      <w:r>
        <w:t xml:space="preserve"> and warns that the model cannot execute code on its own and that generated actions must be validated before execution. </w:t>
      </w:r>
      <w:hyperlink r:id="rId33">
        <w:r>
          <w:rPr>
            <w:rStyle w:val="Hyperlink"/>
          </w:rPr>
          <w:t>[23]</w:t>
        </w:r>
      </w:hyperlink>
    </w:p>
    <w:p w14:paraId="51450956" w14:textId="5C7E4A03" w:rsidR="002C43C2" w:rsidRDefault="00000000">
      <w:pPr>
        <w:pStyle w:val="BodyText"/>
      </w:pPr>
      <w:r>
        <w:rPr>
          <w:b/>
          <w:bCs/>
        </w:rPr>
        <w:t xml:space="preserve">Enhancements to </w:t>
      </w:r>
      <w:r w:rsidR="00251355">
        <w:rPr>
          <w:b/>
          <w:bCs/>
        </w:rPr>
        <w:t>the</w:t>
      </w:r>
      <w:r>
        <w:rPr>
          <w:b/>
          <w:bCs/>
        </w:rPr>
        <w:t xml:space="preserve"> tool system:</w:t>
      </w:r>
      <w:r>
        <w:t xml:space="preserve"> - A strict tool sandbox: tools are </w:t>
      </w:r>
      <w:proofErr w:type="gramStart"/>
      <w:r>
        <w:t>allowlisted</w:t>
      </w:r>
      <w:proofErr w:type="gramEnd"/>
      <w:r>
        <w:t xml:space="preserve">; arguments are schema-validated; outputs are constrained. - A “two-key” emergency </w:t>
      </w:r>
      <w:r>
        <w:lastRenderedPageBreak/>
        <w:t xml:space="preserve">model: for high-risk actions (sharing data, contacting authorities, changing location), require user confirmation unless physical incapacity is detected and a pre-consented emergency profile exists. - A “LiteRT-first deployment path” for mobile/IoT contexts: Google’s LiteRT-LM stack describes cross-platform support and tool use for agentic workflows. </w:t>
      </w:r>
      <w:hyperlink r:id="rId34">
        <w:r>
          <w:rPr>
            <w:rStyle w:val="Hyperlink"/>
          </w:rPr>
          <w:t>[24]</w:t>
        </w:r>
      </w:hyperlink>
    </w:p>
    <w:p w14:paraId="6084194F" w14:textId="77777777" w:rsidR="002C43C2" w:rsidRDefault="00000000">
      <w:pPr>
        <w:pStyle w:val="Heading2"/>
      </w:pPr>
      <w:bookmarkStart w:id="15" w:name="X07249f66dd505bb821ae1ef57dab1b0e15defa9"/>
      <w:bookmarkEnd w:id="10"/>
      <w:bookmarkEnd w:id="14"/>
      <w:r>
        <w:t>Decision Intelligence Upgrades That Make ESIS Fast, Safe, and Defensible</w:t>
      </w:r>
    </w:p>
    <w:p w14:paraId="46CBC936" w14:textId="265F21B8" w:rsidR="002C43C2" w:rsidRDefault="00251355">
      <w:pPr>
        <w:pStyle w:val="FirstParagraph"/>
      </w:pPr>
      <w:r>
        <w:t>The</w:t>
      </w:r>
      <w:r w:rsidR="00000000">
        <w:t xml:space="preserve"> mathematical framing is a strong differentiator, but “classic MDP + Monte Carlo” can be strengthened to reflect homelessness reality: uncertainty, partial observability, and tail-risk.</w:t>
      </w:r>
    </w:p>
    <w:p w14:paraId="12F2EA79" w14:textId="77777777" w:rsidR="002C43C2" w:rsidRDefault="00000000">
      <w:pPr>
        <w:pStyle w:val="Heading3"/>
      </w:pPr>
      <w:bookmarkStart w:id="16" w:name="from-mdp-to-pomdp-and-belief-states"/>
      <w:r>
        <w:t>From MDP to POMDP and belief states</w:t>
      </w:r>
    </w:p>
    <w:p w14:paraId="0C19CCDF" w14:textId="77777777" w:rsidR="002C43C2" w:rsidRDefault="00000000">
      <w:pPr>
        <w:pStyle w:val="FirstParagraph"/>
      </w:pPr>
      <w:r>
        <w:t>In practice, ESIS does not observe the full state. It observes noisy signals: - “Do I have infection?” uncertain. - “Is shelter safe tonight?” uncertain. - “Will my documents be accepted?” uncertain. - “Will a program actually answer?” uncertain.</w:t>
      </w:r>
    </w:p>
    <w:p w14:paraId="54D5413B" w14:textId="77777777" w:rsidR="002C43C2" w:rsidRDefault="00000000">
      <w:pPr>
        <w:pStyle w:val="BodyText"/>
      </w:pPr>
      <w:r>
        <w:t xml:space="preserve">This calls for a </w:t>
      </w:r>
      <w:r>
        <w:rPr>
          <w:b/>
          <w:bCs/>
        </w:rPr>
        <w:t>Partially Observable Markov Decision Process (POMDP)</w:t>
      </w:r>
      <w:r>
        <w:t xml:space="preserve">, where ESIS maintains a belief distribution </w:t>
      </w:r>
      <m:oMath>
        <m:sSub>
          <m:sSubPr>
            <m:ctrlPr>
              <w:rPr>
                <w:rFonts w:ascii="Cambria Math" w:hAnsi="Cambria Math"/>
              </w:rPr>
            </m:ctrlPr>
          </m:sSubPr>
          <m:e>
            <m:r>
              <w:rPr>
                <w:rFonts w:ascii="Cambria Math" w:hAnsi="Cambria Math"/>
              </w:rPr>
              <m:t>b</m:t>
            </m:r>
          </m:e>
          <m:sub>
            <m:r>
              <w:rPr>
                <w:rFonts w:ascii="Cambria Math" w:hAnsi="Cambria Math"/>
              </w:rPr>
              <m:t>t</m:t>
            </m:r>
          </m:sub>
        </m:sSub>
        <m:d>
          <m:dPr>
            <m:ctrlPr>
              <w:rPr>
                <w:rFonts w:ascii="Cambria Math" w:hAnsi="Cambria Math"/>
              </w:rPr>
            </m:ctrlPr>
          </m:dPr>
          <m:e>
            <m:r>
              <w:rPr>
                <w:rFonts w:ascii="Cambria Math" w:hAnsi="Cambria Math"/>
              </w:rPr>
              <m:t>s</m:t>
            </m:r>
          </m:e>
        </m:d>
      </m:oMath>
      <w:r>
        <w:t xml:space="preserve"> over states </w:t>
      </w:r>
      <m:oMath>
        <m:r>
          <w:rPr>
            <w:rFonts w:ascii="Cambria Math" w:hAnsi="Cambria Math"/>
          </w:rPr>
          <m:t>s</m:t>
        </m:r>
      </m:oMath>
      <w:r>
        <w:t>, updated as new observations arrive. The planning objective becomes selecting actions based on beliefs rather than assumed truth:</w:t>
      </w:r>
    </w:p>
    <w:p w14:paraId="14345372" w14:textId="77777777" w:rsidR="002C43C2" w:rsidRDefault="00000000">
      <w:pPr>
        <w:pStyle w:val="BodyText"/>
      </w:pPr>
      <m:oMathPara>
        <m:oMathParaPr>
          <m:jc m:val="center"/>
        </m:oMathParaPr>
        <m:oMath>
          <m:sSup>
            <m:sSupPr>
              <m:ctrlPr>
                <w:rPr>
                  <w:rFonts w:ascii="Cambria Math" w:hAnsi="Cambria Math"/>
                </w:rPr>
              </m:ctrlPr>
            </m:sSupPr>
            <m:e>
              <m:r>
                <w:rPr>
                  <w:rFonts w:ascii="Cambria Math" w:hAnsi="Cambria Math"/>
                </w:rPr>
                <m:t>π</m:t>
              </m:r>
            </m:e>
            <m:sup>
              <m:r>
                <m:rPr>
                  <m:sty m:val="p"/>
                </m:rPr>
                <w:rPr>
                  <w:rFonts w:ascii="Cambria Math" w:hAnsi="Cambria Math"/>
                </w:rPr>
                <m:t>*</m:t>
              </m:r>
            </m:sup>
          </m:sSup>
          <m:r>
            <m:rPr>
              <m:sty m:val="p"/>
            </m:rPr>
            <w:rPr>
              <w:rFonts w:ascii="Cambria Math" w:hAnsi="Cambria Math"/>
            </w:rPr>
            <m:t>=arg</m:t>
          </m:r>
          <m:limLow>
            <m:limLowPr>
              <m:ctrlPr>
                <w:rPr>
                  <w:rFonts w:ascii="Cambria Math" w:hAnsi="Cambria Math"/>
                </w:rPr>
              </m:ctrlPr>
            </m:limLowPr>
            <m:e>
              <m:r>
                <m:rPr>
                  <m:sty m:val="p"/>
                </m:rPr>
                <w:rPr>
                  <w:rFonts w:ascii="Cambria Math" w:hAnsi="Cambria Math"/>
                </w:rPr>
                <m:t>max</m:t>
              </m:r>
            </m:e>
            <m:lim>
              <m:r>
                <w:rPr>
                  <w:rFonts w:ascii="Cambria Math" w:hAnsi="Cambria Math"/>
                </w:rPr>
                <m:t>π</m:t>
              </m:r>
            </m:lim>
          </m:limLow>
          <m:r>
            <w:rPr>
              <w:rFonts w:ascii="Cambria Math" w:hAnsi="Cambria Math"/>
            </w:rPr>
            <m:t> </m:t>
          </m:r>
          <m:r>
            <m:rPr>
              <m:scr m:val="double-struck"/>
              <m:sty m:val="p"/>
            </m:rPr>
            <w:rPr>
              <w:rFonts w:ascii="Cambria Math" w:hAnsi="Cambria Math"/>
            </w:rPr>
            <m:t>E[</m:t>
          </m:r>
          <m:nary>
            <m:naryPr>
              <m:chr m:val="∑"/>
              <m:limLoc m:val="undOvr"/>
              <m:ctrlPr>
                <w:rPr>
                  <w:rFonts w:ascii="Cambria Math" w:hAnsi="Cambria Math"/>
                </w:rPr>
              </m:ctrlPr>
            </m:naryPr>
            <m:sub>
              <m:r>
                <w:rPr>
                  <w:rFonts w:ascii="Cambria Math" w:hAnsi="Cambria Math"/>
                </w:rPr>
                <m:t>t</m:t>
              </m:r>
              <m:r>
                <m:rPr>
                  <m:sty m:val="p"/>
                </m:rPr>
                <w:rPr>
                  <w:rFonts w:ascii="Cambria Math" w:hAnsi="Cambria Math"/>
                </w:rPr>
                <m:t>=</m:t>
              </m:r>
              <m:r>
                <w:rPr>
                  <w:rFonts w:ascii="Cambria Math" w:hAnsi="Cambria Math"/>
                </w:rPr>
                <m:t>0</m:t>
              </m:r>
            </m:sub>
            <m:sup>
              <m:r>
                <w:rPr>
                  <w:rFonts w:ascii="Cambria Math" w:hAnsi="Cambria Math"/>
                </w:rPr>
                <m:t>T</m:t>
              </m:r>
            </m:sup>
            <m:e>
              <m:sSup>
                <m:sSupPr>
                  <m:ctrlPr>
                    <w:rPr>
                      <w:rFonts w:ascii="Cambria Math" w:hAnsi="Cambria Math"/>
                    </w:rPr>
                  </m:ctrlPr>
                </m:sSupPr>
                <m:e>
                  <m:r>
                    <w:rPr>
                      <w:rFonts w:ascii="Cambria Math" w:hAnsi="Cambria Math"/>
                    </w:rPr>
                    <m:t>γ</m:t>
                  </m:r>
                </m:e>
                <m:sup>
                  <m:r>
                    <w:rPr>
                      <w:rFonts w:ascii="Cambria Math" w:hAnsi="Cambria Math"/>
                    </w:rPr>
                    <m:t>t</m:t>
                  </m:r>
                </m:sup>
              </m:sSup>
            </m:e>
          </m:nary>
          <m:r>
            <w:rPr>
              <w:rFonts w:ascii="Cambria Math" w:hAnsi="Cambria Math"/>
            </w:rPr>
            <m:t>R</m:t>
          </m:r>
          <m:d>
            <m:dPr>
              <m:ctrlPr>
                <w:rPr>
                  <w:rFonts w:ascii="Cambria Math" w:hAnsi="Cambria Math"/>
                </w:rPr>
              </m:ctrlPr>
            </m:dPr>
            <m:e>
              <m:sSub>
                <m:sSubPr>
                  <m:ctrlPr>
                    <w:rPr>
                      <w:rFonts w:ascii="Cambria Math" w:hAnsi="Cambria Math"/>
                    </w:rPr>
                  </m:ctrlPr>
                </m:sSubPr>
                <m:e>
                  <m:r>
                    <w:rPr>
                      <w:rFonts w:ascii="Cambria Math" w:hAnsi="Cambria Math"/>
                    </w:rPr>
                    <m:t>s</m:t>
                  </m:r>
                </m:e>
                <m:sub>
                  <m:r>
                    <w:rPr>
                      <w:rFonts w:ascii="Cambria Math" w:hAnsi="Cambria Math"/>
                    </w:rPr>
                    <m:t>t</m:t>
                  </m:r>
                </m:sub>
              </m:sSub>
              <m:r>
                <m:rPr>
                  <m:sty m:val="p"/>
                </m:rPr>
                <w:rPr>
                  <w:rFonts w:ascii="Cambria Math" w:hAnsi="Cambria Math"/>
                </w:rPr>
                <m:t>,</m:t>
              </m:r>
              <m:sSub>
                <m:sSubPr>
                  <m:ctrlPr>
                    <w:rPr>
                      <w:rFonts w:ascii="Cambria Math" w:hAnsi="Cambria Math"/>
                    </w:rPr>
                  </m:ctrlPr>
                </m:sSubPr>
                <m:e>
                  <m:r>
                    <w:rPr>
                      <w:rFonts w:ascii="Cambria Math" w:hAnsi="Cambria Math"/>
                    </w:rPr>
                    <m:t>a</m:t>
                  </m:r>
                </m:e>
                <m:sub>
                  <m:r>
                    <w:rPr>
                      <w:rFonts w:ascii="Cambria Math" w:hAnsi="Cambria Math"/>
                    </w:rPr>
                    <m:t>t</m:t>
                  </m:r>
                </m:sub>
              </m:sSub>
            </m:e>
          </m:d>
          <m:r>
            <w:rPr>
              <w:rFonts w:ascii="Cambria Math" w:hAnsi="Cambria Math"/>
            </w:rPr>
            <m:t> </m:t>
          </m:r>
          <m:d>
            <m:dPr>
              <m:begChr m:val="|"/>
              <m:endChr m:val="]"/>
              <m:ctrlPr>
                <w:rPr>
                  <w:rFonts w:ascii="Cambria Math" w:hAnsi="Cambria Math"/>
                </w:rPr>
              </m:ctrlPr>
            </m:dPr>
            <m:e>
              <m:r>
                <w:rPr>
                  <w:rFonts w:ascii="Cambria Math" w:hAnsi="Cambria Math"/>
                </w:rPr>
                <m:t> </m:t>
              </m:r>
              <m:sSub>
                <m:sSubPr>
                  <m:ctrlPr>
                    <w:rPr>
                      <w:rFonts w:ascii="Cambria Math" w:hAnsi="Cambria Math"/>
                    </w:rPr>
                  </m:ctrlPr>
                </m:sSubPr>
                <m:e>
                  <m:r>
                    <w:rPr>
                      <w:rFonts w:ascii="Cambria Math" w:hAnsi="Cambria Math"/>
                    </w:rPr>
                    <m:t>b</m:t>
                  </m:r>
                </m:e>
                <m:sub>
                  <m:r>
                    <w:rPr>
                      <w:rFonts w:ascii="Cambria Math" w:hAnsi="Cambria Math"/>
                    </w:rPr>
                    <m:t>0</m:t>
                  </m:r>
                </m:sub>
              </m:sSub>
            </m:e>
          </m:d>
        </m:oMath>
      </m:oMathPara>
    </w:p>
    <w:p w14:paraId="3671FC2E" w14:textId="77777777" w:rsidR="002C43C2" w:rsidRDefault="00000000">
      <w:pPr>
        <w:pStyle w:val="FirstParagraph"/>
      </w:pPr>
      <w:r>
        <w:t>This matters because it justifies the design of ESIS’s “value of information” behaviors: sometimes the best action is to obtain a missing document, a lab result, or a single confirmation call when connectivity exists.</w:t>
      </w:r>
    </w:p>
    <w:p w14:paraId="4DE43A4A" w14:textId="77777777" w:rsidR="002C43C2" w:rsidRDefault="00000000">
      <w:pPr>
        <w:pStyle w:val="Heading3"/>
      </w:pPr>
      <w:bookmarkStart w:id="17" w:name="X8b77cef2af90b3b8fc511fd2e5bc143dd723643"/>
      <w:bookmarkEnd w:id="16"/>
      <w:r>
        <w:t>Risk-sensitive optimization: designing for the worst night, not the average night</w:t>
      </w:r>
    </w:p>
    <w:p w14:paraId="479D10F5" w14:textId="77777777" w:rsidR="002C43C2" w:rsidRDefault="00000000">
      <w:pPr>
        <w:pStyle w:val="FirstParagraph"/>
      </w:pPr>
      <w:r>
        <w:t>Homelessness crises are dominated by tail events: a night of extreme cold, a missed infection, an assault, a medication loss. Expected value alone can be ethically wrong.</w:t>
      </w:r>
    </w:p>
    <w:p w14:paraId="6FA06C4E" w14:textId="77777777" w:rsidR="002C43C2" w:rsidRDefault="00000000">
      <w:pPr>
        <w:pStyle w:val="BodyText"/>
      </w:pPr>
      <w:r>
        <w:t xml:space="preserve">A defensible enhancement is </w:t>
      </w:r>
      <w:r>
        <w:rPr>
          <w:b/>
          <w:bCs/>
        </w:rPr>
        <w:t>risk-sensitive planning</w:t>
      </w:r>
      <w:r>
        <w:t>, e.g., minimizing Conditional Value at Risk (CVaR) of catastrophic outcomes:</w:t>
      </w:r>
    </w:p>
    <w:p w14:paraId="7867DC5A" w14:textId="77777777" w:rsidR="002C43C2" w:rsidRDefault="00000000">
      <w:pPr>
        <w:pStyle w:val="BodyText"/>
      </w:pPr>
      <m:oMathPara>
        <m:oMathParaPr>
          <m:jc m:val="center"/>
        </m:oMathParaPr>
        <m:oMath>
          <m:limLow>
            <m:limLowPr>
              <m:ctrlPr>
                <w:rPr>
                  <w:rFonts w:ascii="Cambria Math" w:hAnsi="Cambria Math"/>
                </w:rPr>
              </m:ctrlPr>
            </m:limLowPr>
            <m:e>
              <m:r>
                <m:rPr>
                  <m:sty m:val="p"/>
                </m:rPr>
                <w:rPr>
                  <w:rFonts w:ascii="Cambria Math" w:hAnsi="Cambria Math"/>
                </w:rPr>
                <m:t>max</m:t>
              </m:r>
            </m:e>
            <m:lim>
              <m:r>
                <w:rPr>
                  <w:rFonts w:ascii="Cambria Math" w:hAnsi="Cambria Math"/>
                </w:rPr>
                <m:t>π</m:t>
              </m:r>
            </m:lim>
          </m:limLow>
          <m:r>
            <w:rPr>
              <w:rFonts w:ascii="Cambria Math" w:hAnsi="Cambria Math"/>
            </w:rPr>
            <m:t> </m:t>
          </m:r>
          <m:r>
            <m:rPr>
              <m:scr m:val="double-struck"/>
              <m:sty m:val="p"/>
            </m:rPr>
            <w:rPr>
              <w:rFonts w:ascii="Cambria Math" w:hAnsi="Cambria Math"/>
            </w:rPr>
            <m:t>E</m:t>
          </m:r>
          <m:d>
            <m:dPr>
              <m:begChr m:val="["/>
              <m:endChr m:val="]"/>
              <m:ctrlPr>
                <w:rPr>
                  <w:rFonts w:ascii="Cambria Math" w:hAnsi="Cambria Math"/>
                </w:rPr>
              </m:ctrlPr>
            </m:dPr>
            <m:e>
              <m:r>
                <w:rPr>
                  <w:rFonts w:ascii="Cambria Math" w:hAnsi="Cambria Math"/>
                </w:rPr>
                <m:t>G</m:t>
              </m:r>
            </m:e>
          </m:d>
          <m:r>
            <m:rPr>
              <m:sty m:val="p"/>
            </m:rPr>
            <w:rPr>
              <w:rFonts w:ascii="Cambria Math" w:hAnsi="Cambria Math"/>
            </w:rPr>
            <m:t>-</m:t>
          </m:r>
          <m:r>
            <w:rPr>
              <w:rFonts w:ascii="Cambria Math" w:hAnsi="Cambria Math"/>
            </w:rPr>
            <m:t>λ </m:t>
          </m:r>
          <m:sSub>
            <m:sSubPr>
              <m:ctrlPr>
                <w:rPr>
                  <w:rFonts w:ascii="Cambria Math" w:hAnsi="Cambria Math"/>
                </w:rPr>
              </m:ctrlPr>
            </m:sSubPr>
            <m:e>
              <m:r>
                <m:rPr>
                  <m:sty m:val="p"/>
                </m:rPr>
                <w:rPr>
                  <w:rFonts w:ascii="Cambria Math" w:hAnsi="Cambria Math"/>
                </w:rPr>
                <m:t>CVaR</m:t>
              </m:r>
            </m:e>
            <m:sub>
              <m:r>
                <w:rPr>
                  <w:rFonts w:ascii="Cambria Math" w:hAnsi="Cambria Math"/>
                </w:rPr>
                <m:t>α</m:t>
              </m:r>
            </m:sub>
          </m:sSub>
          <m:d>
            <m:dPr>
              <m:ctrlPr>
                <w:rPr>
                  <w:rFonts w:ascii="Cambria Math" w:hAnsi="Cambria Math"/>
                </w:rPr>
              </m:ctrlPr>
            </m:dPr>
            <m:e>
              <m:r>
                <m:rPr>
                  <m:nor/>
                </m:rPr>
                <m:t>harm</m:t>
              </m:r>
            </m:e>
          </m:d>
        </m:oMath>
      </m:oMathPara>
    </w:p>
    <w:p w14:paraId="437D57D0" w14:textId="77777777" w:rsidR="002C43C2" w:rsidRDefault="00000000">
      <w:pPr>
        <w:pStyle w:val="FirstParagraph"/>
      </w:pPr>
      <w:r>
        <w:t xml:space="preserve">Where “harm” can encode exposure risk, clinical deterioration, or violence risk, and </w:t>
      </w:r>
      <m:oMath>
        <m:r>
          <w:rPr>
            <w:rFonts w:ascii="Cambria Math" w:hAnsi="Cambria Math"/>
          </w:rPr>
          <m:t>α</m:t>
        </m:r>
      </m:oMath>
      <w:r>
        <w:t xml:space="preserve"> selects the worst-case tail fraction. This aligns ESIS with a life-safety mandate rather than “average efficiency.”</w:t>
      </w:r>
    </w:p>
    <w:p w14:paraId="3A9EAECA" w14:textId="77777777" w:rsidR="002C43C2" w:rsidRDefault="00000000">
      <w:pPr>
        <w:pStyle w:val="Heading3"/>
      </w:pPr>
      <w:bookmarkStart w:id="18" w:name="X93f28c256996ea8abb3f8ad45256b41405b76c8"/>
      <w:bookmarkEnd w:id="17"/>
      <w:r>
        <w:lastRenderedPageBreak/>
        <w:t>Chance constraints for “never allow ruin unless unavoidable”</w:t>
      </w:r>
    </w:p>
    <w:p w14:paraId="74A44842" w14:textId="7B5CDDD7" w:rsidR="002C43C2" w:rsidRDefault="00251355">
      <w:pPr>
        <w:pStyle w:val="FirstParagraph"/>
      </w:pPr>
      <w:r>
        <w:t>We</w:t>
      </w:r>
      <w:r w:rsidR="00000000">
        <w:t xml:space="preserve"> can formalize “this must save lives” stance with explicit safety constraints such as:</w:t>
      </w:r>
    </w:p>
    <w:p w14:paraId="5D74F3C0" w14:textId="77777777" w:rsidR="002C43C2" w:rsidRDefault="00000000">
      <w:pPr>
        <w:pStyle w:val="BodyText"/>
      </w:pPr>
      <m:oMathPara>
        <m:oMathParaPr>
          <m:jc m:val="center"/>
        </m:oMathParaPr>
        <m:oMath>
          <m:r>
            <m:rPr>
              <m:sty m:val="p"/>
            </m:rPr>
            <w:rPr>
              <w:rFonts w:ascii="Cambria Math" w:hAnsi="Cambria Math"/>
            </w:rPr>
            <m:t>Pr</m:t>
          </m:r>
          <m:d>
            <m:dPr>
              <m:ctrlPr>
                <w:rPr>
                  <w:rFonts w:ascii="Cambria Math" w:hAnsi="Cambria Math"/>
                </w:rPr>
              </m:ctrlPr>
            </m:dPr>
            <m:e>
              <m:r>
                <m:rPr>
                  <m:nor/>
                </m:rPr>
                <m:t>exposure_death or irreversible harm within 72h</m:t>
              </m:r>
            </m:e>
          </m:d>
          <m:r>
            <m:rPr>
              <m:sty m:val="p"/>
            </m:rPr>
            <w:rPr>
              <w:rFonts w:ascii="Cambria Math" w:hAnsi="Cambria Math"/>
            </w:rPr>
            <m:t>≤</m:t>
          </m:r>
          <m:r>
            <w:rPr>
              <w:rFonts w:ascii="Cambria Math" w:hAnsi="Cambria Math"/>
            </w:rPr>
            <m:t>ϵ</m:t>
          </m:r>
        </m:oMath>
      </m:oMathPara>
    </w:p>
    <w:p w14:paraId="6AB7FC9E" w14:textId="77777777" w:rsidR="002C43C2" w:rsidRDefault="00000000">
      <w:pPr>
        <w:pStyle w:val="FirstParagraph"/>
      </w:pPr>
      <w:r>
        <w:t>ESI’s Monte Carlo engine can estimate this probability under candidate actions by simulating trajectories. When the estimate exceeds the threshold, ESIS must switch to a high-urgency escalation plan (e.g., emergency services, emergency shelter, medical respite advocacy), even if it is costlier or less comfortable.</w:t>
      </w:r>
    </w:p>
    <w:p w14:paraId="2F631A82" w14:textId="77777777" w:rsidR="002C43C2" w:rsidRDefault="00000000">
      <w:pPr>
        <w:pStyle w:val="Heading3"/>
      </w:pPr>
      <w:bookmarkStart w:id="19" w:name="X2fa60ca81041b293adc89501ca778f267694303"/>
      <w:bookmarkEnd w:id="18"/>
      <w:r>
        <w:t>Robustness against biased or unreliable inputs</w:t>
      </w:r>
    </w:p>
    <w:p w14:paraId="07FCB04B" w14:textId="77777777" w:rsidR="002C43C2" w:rsidRDefault="00000000">
      <w:pPr>
        <w:pStyle w:val="FirstParagraph"/>
      </w:pPr>
      <w:r>
        <w:t xml:space="preserve">Given the documented controversies around vulnerability scoring tools and their use in allocations, ESIS should treat intake scores as </w:t>
      </w:r>
      <w:r>
        <w:rPr>
          <w:b/>
          <w:bCs/>
        </w:rPr>
        <w:t>one feature among many</w:t>
      </w:r>
      <w:r>
        <w:t xml:space="preserve">, never as a sole determinant. </w:t>
      </w:r>
      <w:hyperlink r:id="rId35">
        <w:r>
          <w:rPr>
            <w:rStyle w:val="Hyperlink"/>
          </w:rPr>
          <w:t>[25]</w:t>
        </w:r>
      </w:hyperlink>
      <w:r>
        <w:t xml:space="preserve"> A robust approach is to maintain uncertainty bounds on key variables and prefer actions that remain safe across plausible ranges (“robust optimization” / “distributionally robust” planning). This makes ESIS harder to defeat by a single wrong assumption (whether from a tool, a rushed intake, or a prejudiced interaction).</w:t>
      </w:r>
    </w:p>
    <w:p w14:paraId="0403D02B" w14:textId="77777777" w:rsidR="002C43C2" w:rsidRDefault="00000000">
      <w:pPr>
        <w:pStyle w:val="Heading2"/>
      </w:pPr>
      <w:bookmarkStart w:id="20" w:name="Xad387679d32e95006c53996b6003c010adfb775"/>
      <w:bookmarkEnd w:id="15"/>
      <w:bookmarkEnd w:id="19"/>
      <w:r>
        <w:t>Safety, Privacy, and Accountability Design That Matches the Moral Stakes</w:t>
      </w:r>
    </w:p>
    <w:p w14:paraId="2155A776" w14:textId="0A7D9961" w:rsidR="002C43C2" w:rsidRDefault="00251355">
      <w:pPr>
        <w:pStyle w:val="FirstParagraph"/>
      </w:pPr>
      <w:r>
        <w:t>The</w:t>
      </w:r>
      <w:r w:rsidR="00000000">
        <w:t xml:space="preserve"> proposal’s moral core—protecting vulnerable people and removing “human caprice” from life-or-death access—should be converted into concrete governance and safeguards.</w:t>
      </w:r>
    </w:p>
    <w:p w14:paraId="6E06294A" w14:textId="77777777" w:rsidR="002C43C2" w:rsidRDefault="00000000">
      <w:pPr>
        <w:pStyle w:val="Heading3"/>
      </w:pPr>
      <w:bookmarkStart w:id="21" w:name="Xa2c543a29efac68659137d53808a6bd30b516d3"/>
      <w:r>
        <w:t>Treat ESIS as a high-risk decision system and adopt a standard risk framework</w:t>
      </w:r>
    </w:p>
    <w:p w14:paraId="7D6AEA66" w14:textId="1E932339" w:rsidR="002C43C2" w:rsidRDefault="00000000">
      <w:pPr>
        <w:pStyle w:val="FirstParagraph"/>
      </w:pPr>
      <w:r>
        <w:t>The NIST</w:t>
      </w:r>
      <w:hyperlink r:id="rId36">
        <w:r>
          <w:rPr>
            <w:rStyle w:val="Hyperlink"/>
          </w:rPr>
          <w:t>[26]</w:t>
        </w:r>
      </w:hyperlink>
      <w:r>
        <w:t xml:space="preserve"> AI Risk Management Framework (AI RMF 1.0) provides a structured approach to identifying and managing AI risks in ways that are rights-preserving and context-sensitive. </w:t>
      </w:r>
      <w:hyperlink r:id="rId37">
        <w:r>
          <w:rPr>
            <w:rStyle w:val="Hyperlink"/>
          </w:rPr>
          <w:t>[27]</w:t>
        </w:r>
      </w:hyperlink>
      <w:r>
        <w:t xml:space="preserve"> Even if ESIS is not regulated as a medical device, it is functionally a safety-critical decision system. A proposal-level enhancement is to explicitly include: - risk identification (what harms can ESIS cause), - risk measurement (how </w:t>
      </w:r>
      <w:r w:rsidR="00251355">
        <w:t>we</w:t>
      </w:r>
      <w:r>
        <w:t xml:space="preserve"> detect them), - risk mitigation (what guardrails exist), - continuous monitoring (what post-deployment telemetry is safe and ethical).</w:t>
      </w:r>
    </w:p>
    <w:p w14:paraId="09AF4843" w14:textId="77777777" w:rsidR="002C43C2" w:rsidRDefault="00000000">
      <w:pPr>
        <w:pStyle w:val="Heading3"/>
      </w:pPr>
      <w:bookmarkStart w:id="22" w:name="Xc7d6be0ab8e70b3ffc3808d8270c607a62c17f2"/>
      <w:bookmarkEnd w:id="21"/>
      <w:r>
        <w:t>Privacy-by-design and minimum-necessary data</w:t>
      </w:r>
    </w:p>
    <w:p w14:paraId="2473F9E6" w14:textId="77777777" w:rsidR="002C43C2" w:rsidRDefault="00000000">
      <w:pPr>
        <w:pStyle w:val="FirstParagraph"/>
      </w:pPr>
      <w:r>
        <w:t xml:space="preserve">If ESIS touches medical context, U.S. health privacy norms matter. The HIPAA “minimum necessary” principle captures a broadly applicable design constraint: collect/use/disclose only what is necessary for the purpose. </w:t>
      </w:r>
      <w:hyperlink r:id="rId38">
        <w:r>
          <w:rPr>
            <w:rStyle w:val="Hyperlink"/>
          </w:rPr>
          <w:t>[28]</w:t>
        </w:r>
      </w:hyperlink>
    </w:p>
    <w:p w14:paraId="1046B1F1" w14:textId="77777777" w:rsidR="002C43C2" w:rsidRDefault="00000000">
      <w:pPr>
        <w:pStyle w:val="BodyText"/>
      </w:pPr>
      <w:r>
        <w:t>Operationally, this becomes: - local encryption at rest, - short retention windows for sensitive notes, - “export packets” that the user can inspect before sharing, - explicit “do not store precise location” modes for safety-sensitive cases.</w:t>
      </w:r>
    </w:p>
    <w:p w14:paraId="032525AC" w14:textId="77777777" w:rsidR="002C43C2" w:rsidRDefault="00000000">
      <w:pPr>
        <w:pStyle w:val="Heading3"/>
      </w:pPr>
      <w:bookmarkStart w:id="23" w:name="X8d7ac83f84d2787df5c0bd647fc7a1a18a31c9c"/>
      <w:bookmarkEnd w:id="22"/>
      <w:r>
        <w:lastRenderedPageBreak/>
        <w:t>Accountability without accusations: tamper-evident logs and transparency</w:t>
      </w:r>
    </w:p>
    <w:p w14:paraId="4322F706" w14:textId="121655ED" w:rsidR="002C43C2" w:rsidRDefault="00251355">
      <w:pPr>
        <w:pStyle w:val="FirstParagraph"/>
      </w:pPr>
      <w:r>
        <w:t>The</w:t>
      </w:r>
      <w:r w:rsidR="00000000">
        <w:t xml:space="preserve"> concern about misuse of funds and failures of accountability is best translated into measurable, privacy-preserving transparency rather than claims about any individual actor.</w:t>
      </w:r>
    </w:p>
    <w:p w14:paraId="2F6B7C39" w14:textId="77777777" w:rsidR="002C43C2" w:rsidRDefault="00000000">
      <w:pPr>
        <w:pStyle w:val="BodyText"/>
      </w:pPr>
      <w:r>
        <w:t xml:space="preserve">A concrete enhancement is to design ESIS with: - </w:t>
      </w:r>
      <w:r>
        <w:rPr>
          <w:b/>
          <w:bCs/>
        </w:rPr>
        <w:t>tamper-evident logs</w:t>
      </w:r>
      <w:r>
        <w:t xml:space="preserve"> (hash-chained event records) of what the system recommended and what actions were taken, - a consent-based “case history packet” a user can share with advocates, clinicians, or oversight bodies, - aggregate dashboards (only if privacy-preserving and consented) showing bottlenecks: “time from discharge to safe recovery,” “referral attempts before placement,” “missed follow-ups,” “nights unsheltered after medical discharge.”</w:t>
      </w:r>
    </w:p>
    <w:p w14:paraId="4989556C" w14:textId="77777777" w:rsidR="002C43C2" w:rsidRDefault="00000000">
      <w:pPr>
        <w:pStyle w:val="BodyText"/>
      </w:pPr>
      <w:r>
        <w:t>This turns systemic failure into data that can be acted upon.</w:t>
      </w:r>
    </w:p>
    <w:p w14:paraId="349EEB59" w14:textId="77777777" w:rsidR="002C43C2" w:rsidRDefault="00000000">
      <w:pPr>
        <w:pStyle w:val="Heading3"/>
      </w:pPr>
      <w:bookmarkStart w:id="24" w:name="Xa9325b0f3792a4f7dfec6567b9fe0524806c1e1"/>
      <w:bookmarkEnd w:id="23"/>
      <w:r>
        <w:t>Equity guardrails: don’t automate known bias</w:t>
      </w:r>
    </w:p>
    <w:p w14:paraId="4FB78A60" w14:textId="77777777" w:rsidR="002C43C2" w:rsidRDefault="00000000">
      <w:pPr>
        <w:pStyle w:val="FirstParagraph"/>
      </w:pPr>
      <w:r>
        <w:t>Given critiques of assessment tools and the risk of inequitable allocation, ESIS should implement explicit “equity checks”: - detect when recommendations are overly driven by a single score; - run counterfactual tests (“would this recommendation change if race proxies are removed?”); - require explanation outputs for any adverse recommendation; - provide a user-facing “appeal/advocacy packet” that does not require legal expertise.</w:t>
      </w:r>
    </w:p>
    <w:p w14:paraId="4F4464EF" w14:textId="77777777" w:rsidR="002C43C2" w:rsidRDefault="00000000">
      <w:pPr>
        <w:pStyle w:val="BodyText"/>
      </w:pPr>
      <w:r>
        <w:t xml:space="preserve">The research record supports the need for these steps because existing tools have been criticized as biased or misapplied in allocation settings. </w:t>
      </w:r>
      <w:hyperlink r:id="rId39">
        <w:r>
          <w:rPr>
            <w:rStyle w:val="Hyperlink"/>
          </w:rPr>
          <w:t>[29]</w:t>
        </w:r>
      </w:hyperlink>
    </w:p>
    <w:p w14:paraId="0DE0F96C" w14:textId="77777777" w:rsidR="002C43C2" w:rsidRDefault="00000000">
      <w:pPr>
        <w:pStyle w:val="Heading2"/>
      </w:pPr>
      <w:bookmarkStart w:id="25" w:name="Xb0ca7ed09f207e2efd528f6e60b448ab476bd2f"/>
      <w:bookmarkEnd w:id="20"/>
      <w:bookmarkEnd w:id="24"/>
      <w:r>
        <w:t>Research Design Enhancements and an Evaluation Plan That Proves Life-Saving Value</w:t>
      </w:r>
    </w:p>
    <w:p w14:paraId="0ACD5A7C" w14:textId="77777777" w:rsidR="002C43C2" w:rsidRDefault="00000000">
      <w:pPr>
        <w:pStyle w:val="FirstParagraph"/>
      </w:pPr>
      <w:r>
        <w:t>Because ESIS is meant to save lives, the research plan must go beyond “accuracy” and prove safety and throughput improvements under credible constraints.</w:t>
      </w:r>
    </w:p>
    <w:p w14:paraId="03150E02" w14:textId="21280D7A" w:rsidR="002C43C2" w:rsidRDefault="00000000">
      <w:pPr>
        <w:pStyle w:val="Heading3"/>
      </w:pPr>
      <w:bookmarkStart w:id="26" w:name="X40eedc39c904c5d04760caf91432ffd5465188b"/>
      <w:r>
        <w:t xml:space="preserve">Research questions that align to </w:t>
      </w:r>
      <w:r w:rsidR="00251355">
        <w:t>the</w:t>
      </w:r>
      <w:r>
        <w:t xml:space="preserve"> mission</w:t>
      </w:r>
    </w:p>
    <w:p w14:paraId="59C716BA" w14:textId="77777777" w:rsidR="002C43C2" w:rsidRDefault="00000000">
      <w:pPr>
        <w:pStyle w:val="FirstParagraph"/>
      </w:pPr>
      <w:r>
        <w:t>A strengthened proposal should explicitly test:</w:t>
      </w:r>
    </w:p>
    <w:p w14:paraId="45BFB9A9" w14:textId="77777777" w:rsidR="002C43C2" w:rsidRDefault="00000000">
      <w:pPr>
        <w:pStyle w:val="Compact"/>
        <w:numPr>
          <w:ilvl w:val="0"/>
          <w:numId w:val="4"/>
        </w:numPr>
      </w:pPr>
      <w:r>
        <w:t>Whether ESIS reduces time-to-stabilization (safe sleep, safe recovery placement) in simulated and pilot settings.</w:t>
      </w:r>
    </w:p>
    <w:p w14:paraId="67425BF0" w14:textId="77777777" w:rsidR="002C43C2" w:rsidRDefault="00000000">
      <w:pPr>
        <w:pStyle w:val="Compact"/>
        <w:numPr>
          <w:ilvl w:val="0"/>
          <w:numId w:val="4"/>
        </w:numPr>
      </w:pPr>
      <w:r>
        <w:t xml:space="preserve">Whether ESIS reduces discharge-to-street outcomes for medically vulnerable users through improved resilience navigation and medical respite routing, given evidence that respite can reduce readmissions and serve as a bridge. </w:t>
      </w:r>
      <w:hyperlink r:id="rId40">
        <w:r>
          <w:rPr>
            <w:rStyle w:val="Hyperlink"/>
          </w:rPr>
          <w:t>[30]</w:t>
        </w:r>
      </w:hyperlink>
    </w:p>
    <w:p w14:paraId="77CDF454" w14:textId="77777777" w:rsidR="002C43C2" w:rsidRDefault="00000000">
      <w:pPr>
        <w:pStyle w:val="Compact"/>
        <w:numPr>
          <w:ilvl w:val="0"/>
          <w:numId w:val="4"/>
        </w:numPr>
      </w:pPr>
      <w:r>
        <w:t xml:space="preserve">Whether ESIS improves access to non-congregate stabilization when available, consistent with evaluations emphasizing feasibility and potential benefits of non-congregate shelter models. </w:t>
      </w:r>
      <w:hyperlink r:id="rId41">
        <w:r>
          <w:rPr>
            <w:rStyle w:val="Hyperlink"/>
          </w:rPr>
          <w:t>[31]</w:t>
        </w:r>
      </w:hyperlink>
    </w:p>
    <w:p w14:paraId="33233B2B" w14:textId="77777777" w:rsidR="002C43C2" w:rsidRDefault="00000000">
      <w:pPr>
        <w:pStyle w:val="Compact"/>
        <w:numPr>
          <w:ilvl w:val="0"/>
          <w:numId w:val="4"/>
        </w:numPr>
      </w:pPr>
      <w:r>
        <w:t xml:space="preserve">Whether ESIS reduces inequitable outcomes compared with standard intake scoring pathways (especially where tools are criticized for bias). </w:t>
      </w:r>
      <w:hyperlink r:id="rId42">
        <w:r>
          <w:rPr>
            <w:rStyle w:val="Hyperlink"/>
          </w:rPr>
          <w:t>[32]</w:t>
        </w:r>
      </w:hyperlink>
    </w:p>
    <w:p w14:paraId="69A1B5D0" w14:textId="77777777" w:rsidR="002C43C2" w:rsidRDefault="00000000">
      <w:pPr>
        <w:pStyle w:val="Heading3"/>
      </w:pPr>
      <w:bookmarkStart w:id="27" w:name="X9c2fec424d454981e84173c5da65292badf5214"/>
      <w:bookmarkEnd w:id="26"/>
      <w:r>
        <w:lastRenderedPageBreak/>
        <w:t>Evaluation methodology that is realistic and defensible</w:t>
      </w:r>
    </w:p>
    <w:p w14:paraId="7BC8DA8E" w14:textId="77777777" w:rsidR="002C43C2" w:rsidRDefault="00000000">
      <w:pPr>
        <w:pStyle w:val="FirstParagraph"/>
      </w:pPr>
      <w:r>
        <w:t>A strong research protocol uses staged validation:</w:t>
      </w:r>
    </w:p>
    <w:p w14:paraId="63756C4D" w14:textId="77777777" w:rsidR="002C43C2" w:rsidRDefault="00000000">
      <w:pPr>
        <w:numPr>
          <w:ilvl w:val="0"/>
          <w:numId w:val="5"/>
        </w:numPr>
      </w:pPr>
      <w:r>
        <w:rPr>
          <w:b/>
          <w:bCs/>
        </w:rPr>
        <w:t>Scenario simulation lab (“digital twin”)</w:t>
      </w:r>
      <w:r>
        <w:br/>
        <w:t xml:space="preserve">Build a simulation environment parameterized by real constraints: shelter hours, known referral bottlenecks, weather risk bursts, device power loss, and stochastic “no answer” call probabilities. Calibrate severity using mortality risk differentials from literature that show unsheltered status is associated with substantially higher mortality. </w:t>
      </w:r>
      <w:hyperlink r:id="rId43">
        <w:r>
          <w:rPr>
            <w:rStyle w:val="Hyperlink"/>
          </w:rPr>
          <w:t>[33]</w:t>
        </w:r>
      </w:hyperlink>
    </w:p>
    <w:p w14:paraId="2AC8A369" w14:textId="77777777" w:rsidR="002C43C2" w:rsidRDefault="00000000">
      <w:pPr>
        <w:numPr>
          <w:ilvl w:val="0"/>
          <w:numId w:val="5"/>
        </w:numPr>
      </w:pPr>
      <w:r>
        <w:rPr>
          <w:b/>
          <w:bCs/>
        </w:rPr>
        <w:t>Field pilot with strict safety boundaries</w:t>
      </w:r>
      <w:r>
        <w:br/>
        <w:t>ESIS should be tested as decision support and navigation, not as an autonomous allocator of housing. The pilot endpoints should include:</w:t>
      </w:r>
    </w:p>
    <w:p w14:paraId="6E31BA06" w14:textId="77777777" w:rsidR="002C43C2" w:rsidRDefault="00000000">
      <w:pPr>
        <w:pStyle w:val="Compact"/>
        <w:numPr>
          <w:ilvl w:val="0"/>
          <w:numId w:val="5"/>
        </w:numPr>
      </w:pPr>
      <w:r>
        <w:t>time to first safe placement,</w:t>
      </w:r>
    </w:p>
    <w:p w14:paraId="04BA71F1" w14:textId="77777777" w:rsidR="002C43C2" w:rsidRDefault="00000000">
      <w:pPr>
        <w:pStyle w:val="Compact"/>
        <w:numPr>
          <w:ilvl w:val="0"/>
          <w:numId w:val="5"/>
        </w:numPr>
      </w:pPr>
      <w:r>
        <w:t>nights unsheltered post-discharge,</w:t>
      </w:r>
    </w:p>
    <w:p w14:paraId="7FB1E477" w14:textId="77777777" w:rsidR="002C43C2" w:rsidRDefault="00000000">
      <w:pPr>
        <w:pStyle w:val="Compact"/>
        <w:numPr>
          <w:ilvl w:val="0"/>
          <w:numId w:val="5"/>
        </w:numPr>
      </w:pPr>
      <w:r>
        <w:t>successful linkage to medical respite or equivalent recovery setting,</w:t>
      </w:r>
    </w:p>
    <w:p w14:paraId="6696B917" w14:textId="77777777" w:rsidR="002C43C2" w:rsidRDefault="00000000">
      <w:pPr>
        <w:numPr>
          <w:ilvl w:val="0"/>
          <w:numId w:val="5"/>
        </w:numPr>
      </w:pPr>
      <w:r>
        <w:t>completion of Coordinated Entry steps where applicable.</w:t>
      </w:r>
    </w:p>
    <w:p w14:paraId="3F479DF8" w14:textId="77777777" w:rsidR="002C43C2" w:rsidRDefault="00000000">
      <w:pPr>
        <w:numPr>
          <w:ilvl w:val="0"/>
          <w:numId w:val="5"/>
        </w:numPr>
      </w:pPr>
      <w:r>
        <w:rPr>
          <w:b/>
          <w:bCs/>
        </w:rPr>
        <w:t>System interoperability tests</w:t>
      </w:r>
      <w:r>
        <w:br/>
        <w:t xml:space="preserve">Validate exports and workflows against Coordinated Entry expectations and HMIS standards where relevant; HUD provides formal CE requirements and HMIS standards provide data consistency baselines. </w:t>
      </w:r>
      <w:hyperlink r:id="rId44">
        <w:r>
          <w:rPr>
            <w:rStyle w:val="Hyperlink"/>
          </w:rPr>
          <w:t>[34]</w:t>
        </w:r>
      </w:hyperlink>
    </w:p>
    <w:p w14:paraId="3983FB2D" w14:textId="77777777" w:rsidR="002C43C2" w:rsidRDefault="00000000">
      <w:pPr>
        <w:pStyle w:val="Heading3"/>
      </w:pPr>
      <w:bookmarkStart w:id="28" w:name="X92effc7a1c77e2d872183a7f3b700e7ac794f4b"/>
      <w:bookmarkEnd w:id="27"/>
      <w:r>
        <w:t>Deployment pathway grounded in existing infrastructure</w:t>
      </w:r>
    </w:p>
    <w:p w14:paraId="1747BD26" w14:textId="1B35D44A" w:rsidR="002C43C2" w:rsidRDefault="00000000">
      <w:pPr>
        <w:pStyle w:val="FirstParagraph"/>
      </w:pPr>
      <w:r>
        <w:t xml:space="preserve">Finally, </w:t>
      </w:r>
      <w:r w:rsidR="00251355">
        <w:t>the</w:t>
      </w:r>
      <w:r>
        <w:t xml:space="preserve"> proposal should explicitly plan partnerships around systems that already exist: - a referral infrastructure partner (often 211) for human escalation, consistent with the role and scale described by United Way resources and local 211 implementations. </w:t>
      </w:r>
      <w:hyperlink r:id="rId45">
        <w:r>
          <w:rPr>
            <w:rStyle w:val="Hyperlink"/>
          </w:rPr>
          <w:t>[35]</w:t>
        </w:r>
      </w:hyperlink>
      <w:r>
        <w:t xml:space="preserve"> - clinical partners for medical respite pathways, consistent with the evidence base and program frameworks. </w:t>
      </w:r>
      <w:hyperlink r:id="rId46">
        <w:r>
          <w:rPr>
            <w:rStyle w:val="Hyperlink"/>
          </w:rPr>
          <w:t>[36]</w:t>
        </w:r>
      </w:hyperlink>
      <w:r>
        <w:t xml:space="preserve"> - Continuum of Care stakeholders to align with Coordinated Entry and nondiscrimination requirements. </w:t>
      </w:r>
      <w:hyperlink r:id="rId47">
        <w:r>
          <w:rPr>
            <w:rStyle w:val="Hyperlink"/>
          </w:rPr>
          <w:t>[17]</w:t>
        </w:r>
      </w:hyperlink>
    </w:p>
    <w:p w14:paraId="36301F71" w14:textId="77777777" w:rsidR="002C43C2" w:rsidRDefault="00000000">
      <w:pPr>
        <w:pStyle w:val="Heading2"/>
      </w:pPr>
      <w:bookmarkStart w:id="29" w:name="X108180f92a8caee7b0ca5867cce8ea507df2b4f"/>
      <w:bookmarkEnd w:id="25"/>
      <w:bookmarkEnd w:id="28"/>
      <w:r>
        <w:t>Core Gaps in the Current Draft and the Highest-Impact Fixes</w:t>
      </w:r>
    </w:p>
    <w:p w14:paraId="6F32F436" w14:textId="18542DAF" w:rsidR="002C43C2" w:rsidRDefault="00251355">
      <w:pPr>
        <w:pStyle w:val="FirstParagraph"/>
      </w:pPr>
      <w:r>
        <w:t>The</w:t>
      </w:r>
      <w:r w:rsidR="00000000">
        <w:t xml:space="preserve"> rough draft already has strong components. The gaps that most threaten real-world life-saving performance are:</w:t>
      </w:r>
    </w:p>
    <w:p w14:paraId="10CFA45F" w14:textId="77777777" w:rsidR="002C43C2" w:rsidRDefault="00000000">
      <w:pPr>
        <w:pStyle w:val="BodyText"/>
      </w:pPr>
      <w:r>
        <w:t xml:space="preserve">The first gap is </w:t>
      </w:r>
      <w:r>
        <w:rPr>
          <w:b/>
          <w:bCs/>
        </w:rPr>
        <w:t>overpromising autonomy</w:t>
      </w:r>
      <w:r>
        <w:t>: ESIS cannot unilaterally place someone into housing without capacity and legal authority. The fix is to define ESIS as an “always-on stabilization and execution engine” that (a) routes to safe options immediately, and (b) dramatically increases throughput and reliability of the existing pipeline.</w:t>
      </w:r>
    </w:p>
    <w:p w14:paraId="08E18198" w14:textId="77777777" w:rsidR="002C43C2" w:rsidRDefault="00000000">
      <w:pPr>
        <w:pStyle w:val="BodyText"/>
      </w:pPr>
      <w:r>
        <w:t xml:space="preserve">The second gap is </w:t>
      </w:r>
      <w:r>
        <w:rPr>
          <w:b/>
          <w:bCs/>
        </w:rPr>
        <w:t>insufficient modeling of uncertainty and tail risk</w:t>
      </w:r>
      <w:r>
        <w:t>. The fix is risk-sensitive and POMDP framing, plus explicit “never accept ruin when avoidable” constraints.</w:t>
      </w:r>
    </w:p>
    <w:p w14:paraId="4E3556B8" w14:textId="77777777" w:rsidR="002C43C2" w:rsidRDefault="00000000">
      <w:pPr>
        <w:pStyle w:val="BodyText"/>
      </w:pPr>
      <w:r>
        <w:lastRenderedPageBreak/>
        <w:t xml:space="preserve">The third gap is </w:t>
      </w:r>
      <w:r>
        <w:rPr>
          <w:b/>
          <w:bCs/>
        </w:rPr>
        <w:t>insufficient equity governance</w:t>
      </w:r>
      <w:r>
        <w:t xml:space="preserve">. The fix is explicit anti-bias design and transparent explanations, grounded in the documented concerns about vulnerability assessments in Coordinated Entry settings. </w:t>
      </w:r>
      <w:hyperlink r:id="rId48">
        <w:r>
          <w:rPr>
            <w:rStyle w:val="Hyperlink"/>
          </w:rPr>
          <w:t>[25]</w:t>
        </w:r>
      </w:hyperlink>
    </w:p>
    <w:p w14:paraId="6F4CBB04" w14:textId="77777777" w:rsidR="002C43C2" w:rsidRDefault="00000000">
      <w:pPr>
        <w:pStyle w:val="BodyText"/>
      </w:pPr>
      <w:r>
        <w:t xml:space="preserve">The fourth gap is </w:t>
      </w:r>
      <w:r>
        <w:rPr>
          <w:b/>
          <w:bCs/>
        </w:rPr>
        <w:t>last-mile constraints</w:t>
      </w:r>
      <w:r>
        <w:t xml:space="preserve"> (charging, intermittent connectivity, theft, low literacy). These barriers are empirically documented and must be treated as first-order design constraints, not UX details. </w:t>
      </w:r>
      <w:hyperlink r:id="rId49">
        <w:r>
          <w:rPr>
            <w:rStyle w:val="Hyperlink"/>
          </w:rPr>
          <w:t>[14]</w:t>
        </w:r>
      </w:hyperlink>
    </w:p>
    <w:p w14:paraId="6DAF710D" w14:textId="77777777" w:rsidR="002C43C2" w:rsidRDefault="00000000">
      <w:pPr>
        <w:pStyle w:val="BodyText"/>
      </w:pPr>
      <w:r>
        <w:t xml:space="preserve">The fifth gap is </w:t>
      </w:r>
      <w:r>
        <w:rPr>
          <w:b/>
          <w:bCs/>
        </w:rPr>
        <w:t>insufficient accountability instrumentation</w:t>
      </w:r>
      <w:r>
        <w:t>. The fix is tamper-evident local logs and consent-based export packets that convert systemic failure into actionable evidence without endangering users.</w:t>
      </w:r>
    </w:p>
    <w:p w14:paraId="7E90EF70" w14:textId="37F73378" w:rsidR="002C43C2" w:rsidRDefault="00000000">
      <w:pPr>
        <w:pStyle w:val="BodyText"/>
      </w:pPr>
      <w:r>
        <w:t xml:space="preserve">With these enhancements, ESIS becomes something much closer to what </w:t>
      </w:r>
      <w:r w:rsidR="00251355">
        <w:t>I’m</w:t>
      </w:r>
      <w:r>
        <w:t xml:space="preserve"> describing: a fast, always-available, bias-resistant, privacy-preserving safety and navigation engine that can keep people alive in the gap between “crisis now” and “housing secured.”</w:t>
      </w:r>
    </w:p>
    <w:bookmarkEnd w:id="1"/>
    <w:bookmarkEnd w:id="2"/>
    <w:bookmarkEnd w:id="29"/>
    <w:p w14:paraId="193E954C" w14:textId="77777777" w:rsidR="002C43C2" w:rsidRDefault="00000000">
      <w:r>
        <w:pict w14:anchorId="4B929A33">
          <v:rect id="_x0000_i1025" style="width:0;height:1.5pt" o:hralign="center" o:hrstd="t" o:hr="t"/>
        </w:pict>
      </w:r>
    </w:p>
    <w:bookmarkStart w:id="30" w:name="citations"/>
    <w:p w14:paraId="10F256F5" w14:textId="77777777" w:rsidR="002C43C2" w:rsidRDefault="00000000">
      <w:pPr>
        <w:pStyle w:val="FirstParagraph"/>
      </w:pPr>
      <w:r>
        <w:fldChar w:fldCharType="begin"/>
      </w:r>
      <w:r>
        <w:instrText>HYPERLINK "https://www.nber.org/digest/202402/estimating-mortality-rates-us-homeless-population?utm_source=chatgpt.com" \h</w:instrText>
      </w:r>
      <w:r>
        <w:fldChar w:fldCharType="separate"/>
      </w:r>
      <w:r>
        <w:rPr>
          <w:rStyle w:val="Hyperlink"/>
        </w:rPr>
        <w:t>[1]</w:t>
      </w:r>
      <w:r>
        <w:fldChar w:fldCharType="end"/>
      </w:r>
      <w:r>
        <w:t xml:space="preserve"> Estimating Mortality Rates for the US Homeless Population</w:t>
      </w:r>
    </w:p>
    <w:p w14:paraId="3BFEC062" w14:textId="77777777" w:rsidR="002C43C2" w:rsidRDefault="00000000">
      <w:pPr>
        <w:pStyle w:val="BodyText"/>
      </w:pPr>
      <w:hyperlink r:id="rId50">
        <w:r>
          <w:rPr>
            <w:rStyle w:val="Hyperlink"/>
          </w:rPr>
          <w:t>https://www.nber.org/digest/202402/estimating-mortality-rates-us-homeless-population?utm_source=chatgpt.com</w:t>
        </w:r>
      </w:hyperlink>
    </w:p>
    <w:p w14:paraId="37273F1A" w14:textId="77777777" w:rsidR="002C43C2" w:rsidRDefault="00000000">
      <w:pPr>
        <w:pStyle w:val="BodyText"/>
      </w:pPr>
      <w:hyperlink r:id="rId51">
        <w:r>
          <w:rPr>
            <w:rStyle w:val="Hyperlink"/>
          </w:rPr>
          <w:t>[2]</w:t>
        </w:r>
      </w:hyperlink>
      <w:r>
        <w:t xml:space="preserve"> </w:t>
      </w:r>
      <w:hyperlink r:id="rId52">
        <w:r>
          <w:rPr>
            <w:rStyle w:val="Hyperlink"/>
          </w:rPr>
          <w:t>[33]</w:t>
        </w:r>
      </w:hyperlink>
      <w:r>
        <w:t xml:space="preserve"> Unsheltered Homelessness and Health: A Literature Review</w:t>
      </w:r>
    </w:p>
    <w:p w14:paraId="77AC9791" w14:textId="77777777" w:rsidR="002C43C2" w:rsidRDefault="00000000">
      <w:pPr>
        <w:pStyle w:val="BodyText"/>
      </w:pPr>
      <w:hyperlink r:id="rId53">
        <w:r>
          <w:rPr>
            <w:rStyle w:val="Hyperlink"/>
          </w:rPr>
          <w:t>https://pmc.ncbi.nlm.nih.gov/articles/PMC10546518/?utm_source=chatgpt.com</w:t>
        </w:r>
      </w:hyperlink>
    </w:p>
    <w:p w14:paraId="333F8EB0" w14:textId="77777777" w:rsidR="002C43C2" w:rsidRDefault="00000000">
      <w:pPr>
        <w:pStyle w:val="BodyText"/>
      </w:pPr>
      <w:hyperlink r:id="rId54">
        <w:r>
          <w:rPr>
            <w:rStyle w:val="Hyperlink"/>
          </w:rPr>
          <w:t>[3]</w:t>
        </w:r>
      </w:hyperlink>
      <w:r>
        <w:t xml:space="preserve"> </w:t>
      </w:r>
      <w:hyperlink r:id="rId55">
        <w:r>
          <w:rPr>
            <w:rStyle w:val="Hyperlink"/>
          </w:rPr>
          <w:t>[18]</w:t>
        </w:r>
      </w:hyperlink>
      <w:r>
        <w:t xml:space="preserve"> </w:t>
      </w:r>
      <w:hyperlink r:id="rId56">
        <w:r>
          <w:rPr>
            <w:rStyle w:val="Hyperlink"/>
          </w:rPr>
          <w:t>[25]</w:t>
        </w:r>
      </w:hyperlink>
      <w:r>
        <w:t xml:space="preserve"> </w:t>
      </w:r>
      <w:hyperlink r:id="rId57">
        <w:r>
          <w:rPr>
            <w:rStyle w:val="Hyperlink"/>
          </w:rPr>
          <w:t>[26]</w:t>
        </w:r>
      </w:hyperlink>
      <w:r>
        <w:t xml:space="preserve"> </w:t>
      </w:r>
      <w:hyperlink r:id="rId58">
        <w:r>
          <w:rPr>
            <w:rStyle w:val="Hyperlink"/>
          </w:rPr>
          <w:t>[29]</w:t>
        </w:r>
      </w:hyperlink>
      <w:r>
        <w:t xml:space="preserve"> </w:t>
      </w:r>
      <w:hyperlink r:id="rId59">
        <w:r>
          <w:rPr>
            <w:rStyle w:val="Hyperlink"/>
          </w:rPr>
          <w:t>[32]</w:t>
        </w:r>
      </w:hyperlink>
      <w:r>
        <w:t xml:space="preserve"> Allocating Homeless Services After the Withdrawal of ... - PMC</w:t>
      </w:r>
    </w:p>
    <w:p w14:paraId="2851B6E7" w14:textId="77777777" w:rsidR="002C43C2" w:rsidRDefault="00000000">
      <w:pPr>
        <w:pStyle w:val="BodyText"/>
      </w:pPr>
      <w:hyperlink r:id="rId60">
        <w:r>
          <w:rPr>
            <w:rStyle w:val="Hyperlink"/>
          </w:rPr>
          <w:t>https://pmc.ncbi.nlm.nih.gov/articles/PMC8887175/?utm_source=chatgpt.com</w:t>
        </w:r>
      </w:hyperlink>
    </w:p>
    <w:p w14:paraId="61E281E6" w14:textId="77777777" w:rsidR="002C43C2" w:rsidRDefault="00000000">
      <w:pPr>
        <w:pStyle w:val="BodyText"/>
      </w:pPr>
      <w:hyperlink r:id="rId61">
        <w:r>
          <w:rPr>
            <w:rStyle w:val="Hyperlink"/>
          </w:rPr>
          <w:t>[4]</w:t>
        </w:r>
      </w:hyperlink>
      <w:r>
        <w:t xml:space="preserve"> 2024 Death Review_F</w:t>
      </w:r>
    </w:p>
    <w:p w14:paraId="499E476B" w14:textId="77777777" w:rsidR="002C43C2" w:rsidRDefault="00000000">
      <w:pPr>
        <w:pStyle w:val="BodyText"/>
      </w:pPr>
      <w:hyperlink r:id="rId62">
        <w:r>
          <w:rPr>
            <w:rStyle w:val="Hyperlink"/>
          </w:rPr>
          <w:t>https://www.coloradocoalition.org/sites/default/files/2024-12/2024%20Death%20Review_F%20%281%29.pdf</w:t>
        </w:r>
      </w:hyperlink>
    </w:p>
    <w:p w14:paraId="5826BF2B" w14:textId="77777777" w:rsidR="002C43C2" w:rsidRDefault="00000000">
      <w:pPr>
        <w:pStyle w:val="BodyText"/>
      </w:pPr>
      <w:hyperlink r:id="rId63">
        <w:r>
          <w:rPr>
            <w:rStyle w:val="Hyperlink"/>
          </w:rPr>
          <w:t>[5]</w:t>
        </w:r>
      </w:hyperlink>
      <w:r>
        <w:t xml:space="preserve"> 2025 Death Review_Final</w:t>
      </w:r>
    </w:p>
    <w:p w14:paraId="6180B2A8" w14:textId="77777777" w:rsidR="002C43C2" w:rsidRDefault="00000000">
      <w:pPr>
        <w:pStyle w:val="BodyText"/>
      </w:pPr>
      <w:hyperlink r:id="rId64">
        <w:r>
          <w:rPr>
            <w:rStyle w:val="Hyperlink"/>
          </w:rPr>
          <w:t>https://www.coloradocoalition.org/sites/default/files/2025-12/2025%20Death%20Review_Final.pdf</w:t>
        </w:r>
      </w:hyperlink>
    </w:p>
    <w:p w14:paraId="2152AF4D" w14:textId="77777777" w:rsidR="002C43C2" w:rsidRDefault="00000000">
      <w:pPr>
        <w:pStyle w:val="BodyText"/>
      </w:pPr>
      <w:hyperlink r:id="rId65">
        <w:r>
          <w:rPr>
            <w:rStyle w:val="Hyperlink"/>
          </w:rPr>
          <w:t>[6]</w:t>
        </w:r>
      </w:hyperlink>
      <w:r>
        <w:t xml:space="preserve"> Permanent Supportive Housing with Housing First to Reduce ...</w:t>
      </w:r>
    </w:p>
    <w:p w14:paraId="7C1BCF65" w14:textId="77777777" w:rsidR="002C43C2" w:rsidRDefault="00000000">
      <w:pPr>
        <w:pStyle w:val="BodyText"/>
      </w:pPr>
      <w:hyperlink r:id="rId66">
        <w:r>
          <w:rPr>
            <w:rStyle w:val="Hyperlink"/>
          </w:rPr>
          <w:t>https://pmc.ncbi.nlm.nih.gov/articles/PMC8513528/?utm_source=chatgpt.com</w:t>
        </w:r>
      </w:hyperlink>
    </w:p>
    <w:p w14:paraId="51F05F42" w14:textId="77777777" w:rsidR="002C43C2" w:rsidRDefault="00000000">
      <w:pPr>
        <w:pStyle w:val="BodyText"/>
      </w:pPr>
      <w:hyperlink r:id="rId67">
        <w:r>
          <w:rPr>
            <w:rStyle w:val="Hyperlink"/>
          </w:rPr>
          <w:t>[7]</w:t>
        </w:r>
      </w:hyperlink>
      <w:r>
        <w:t xml:space="preserve"> Permanent Supportive Housing With Housing First - PMC - NIH</w:t>
      </w:r>
    </w:p>
    <w:p w14:paraId="0D8353B3" w14:textId="77777777" w:rsidR="002C43C2" w:rsidRDefault="00000000">
      <w:pPr>
        <w:pStyle w:val="BodyText"/>
      </w:pPr>
      <w:hyperlink r:id="rId68">
        <w:r>
          <w:rPr>
            <w:rStyle w:val="Hyperlink"/>
          </w:rPr>
          <w:t>https://pmc.ncbi.nlm.nih.gov/articles/PMC8863642/?utm_source=chatgpt.com</w:t>
        </w:r>
      </w:hyperlink>
    </w:p>
    <w:p w14:paraId="022EC303" w14:textId="77777777" w:rsidR="002C43C2" w:rsidRDefault="00000000">
      <w:pPr>
        <w:pStyle w:val="BodyText"/>
      </w:pPr>
      <w:hyperlink r:id="rId69">
        <w:r>
          <w:rPr>
            <w:rStyle w:val="Hyperlink"/>
          </w:rPr>
          <w:t>[8]</w:t>
        </w:r>
      </w:hyperlink>
      <w:r>
        <w:t xml:space="preserve"> Housing and Support Intervention and Mortality Among ...</w:t>
      </w:r>
    </w:p>
    <w:p w14:paraId="56FBFA6B" w14:textId="77777777" w:rsidR="002C43C2" w:rsidRDefault="00000000">
      <w:pPr>
        <w:pStyle w:val="BodyText"/>
      </w:pPr>
      <w:hyperlink r:id="rId70">
        <w:r>
          <w:rPr>
            <w:rStyle w:val="Hyperlink"/>
          </w:rPr>
          <w:t>https://jamanetwork.com/journals/jamanetworkopen/fullarticle/2837050?utm_source=chatgpt.com</w:t>
        </w:r>
      </w:hyperlink>
    </w:p>
    <w:p w14:paraId="1BC2BAC9" w14:textId="77777777" w:rsidR="002C43C2" w:rsidRDefault="00000000">
      <w:pPr>
        <w:pStyle w:val="BodyText"/>
      </w:pPr>
      <w:hyperlink r:id="rId71">
        <w:r>
          <w:rPr>
            <w:rStyle w:val="Hyperlink"/>
          </w:rPr>
          <w:t>[9]</w:t>
        </w:r>
      </w:hyperlink>
      <w:r>
        <w:t xml:space="preserve"> </w:t>
      </w:r>
      <w:hyperlink r:id="rId72">
        <w:r>
          <w:rPr>
            <w:rStyle w:val="Hyperlink"/>
          </w:rPr>
          <w:t>[13]</w:t>
        </w:r>
      </w:hyperlink>
      <w:r>
        <w:t xml:space="preserve"> Post-Hospital Medical Respite Care and Hospital ... - PMC - NIH</w:t>
      </w:r>
    </w:p>
    <w:p w14:paraId="18846852" w14:textId="77777777" w:rsidR="002C43C2" w:rsidRDefault="00000000">
      <w:pPr>
        <w:pStyle w:val="BodyText"/>
      </w:pPr>
      <w:hyperlink r:id="rId73">
        <w:r>
          <w:rPr>
            <w:rStyle w:val="Hyperlink"/>
          </w:rPr>
          <w:t>https://pmc.ncbi.nlm.nih.gov/articles/PMC2702998/?utm_source=chatgpt.com</w:t>
        </w:r>
      </w:hyperlink>
    </w:p>
    <w:p w14:paraId="2AA2C737" w14:textId="77777777" w:rsidR="002C43C2" w:rsidRDefault="00000000">
      <w:pPr>
        <w:pStyle w:val="BodyText"/>
      </w:pPr>
      <w:hyperlink r:id="rId74">
        <w:r>
          <w:rPr>
            <w:rStyle w:val="Hyperlink"/>
          </w:rPr>
          <w:t>[10]</w:t>
        </w:r>
      </w:hyperlink>
      <w:r>
        <w:t xml:space="preserve"> </w:t>
      </w:r>
      <w:hyperlink r:id="rId75">
        <w:r>
          <w:rPr>
            <w:rStyle w:val="Hyperlink"/>
          </w:rPr>
          <w:t>[21]</w:t>
        </w:r>
      </w:hyperlink>
      <w:r>
        <w:t xml:space="preserve"> </w:t>
      </w:r>
      <w:hyperlink r:id="rId76">
        <w:r>
          <w:rPr>
            <w:rStyle w:val="Hyperlink"/>
          </w:rPr>
          <w:t>[30]</w:t>
        </w:r>
      </w:hyperlink>
      <w:r>
        <w:t xml:space="preserve"> Medical Respite Care</w:t>
      </w:r>
    </w:p>
    <w:p w14:paraId="41C15003" w14:textId="77777777" w:rsidR="002C43C2" w:rsidRDefault="00000000">
      <w:pPr>
        <w:pStyle w:val="BodyText"/>
      </w:pPr>
      <w:hyperlink r:id="rId77">
        <w:r>
          <w:rPr>
            <w:rStyle w:val="Hyperlink"/>
          </w:rPr>
          <w:t>https://www.chcs.org/resource/medical-respite-care/?utm_source=chatgpt.com</w:t>
        </w:r>
      </w:hyperlink>
    </w:p>
    <w:p w14:paraId="3027646C" w14:textId="77777777" w:rsidR="002C43C2" w:rsidRDefault="00000000">
      <w:pPr>
        <w:pStyle w:val="BodyText"/>
      </w:pPr>
      <w:hyperlink r:id="rId78">
        <w:r>
          <w:rPr>
            <w:rStyle w:val="Hyperlink"/>
          </w:rPr>
          <w:t>[11]</w:t>
        </w:r>
      </w:hyperlink>
      <w:r>
        <w:t xml:space="preserve"> </w:t>
      </w:r>
      <w:hyperlink r:id="rId79">
        <w:r>
          <w:rPr>
            <w:rStyle w:val="Hyperlink"/>
          </w:rPr>
          <w:t>[31]</w:t>
        </w:r>
      </w:hyperlink>
      <w:r>
        <w:t xml:space="preserve"> Evaluation of California’s Project Roomkey Program</w:t>
      </w:r>
    </w:p>
    <w:p w14:paraId="72445B33" w14:textId="77777777" w:rsidR="002C43C2" w:rsidRDefault="00000000">
      <w:pPr>
        <w:pStyle w:val="BodyText"/>
      </w:pPr>
      <w:hyperlink r:id="rId80">
        <w:r>
          <w:rPr>
            <w:rStyle w:val="Hyperlink"/>
          </w:rPr>
          <w:t>https://www.abtglobal.com/files/insights/reports/2024/abt-global_prk-eval_final-report_5.4.24.pdf</w:t>
        </w:r>
      </w:hyperlink>
    </w:p>
    <w:p w14:paraId="436B96CF" w14:textId="77777777" w:rsidR="002C43C2" w:rsidRDefault="00000000">
      <w:pPr>
        <w:pStyle w:val="BodyText"/>
      </w:pPr>
      <w:hyperlink r:id="rId81">
        <w:r>
          <w:rPr>
            <w:rStyle w:val="Hyperlink"/>
          </w:rPr>
          <w:t>[12]</w:t>
        </w:r>
      </w:hyperlink>
      <w:r>
        <w:t xml:space="preserve"> </w:t>
      </w:r>
      <w:hyperlink r:id="rId82">
        <w:r>
          <w:rPr>
            <w:rStyle w:val="Hyperlink"/>
          </w:rPr>
          <w:t>[15]</w:t>
        </w:r>
      </w:hyperlink>
      <w:r>
        <w:t xml:space="preserve"> Policymakers Can Solve Homelessness by Scaling Up ...</w:t>
      </w:r>
    </w:p>
    <w:p w14:paraId="1185509A" w14:textId="77777777" w:rsidR="002C43C2" w:rsidRDefault="00000000">
      <w:pPr>
        <w:pStyle w:val="BodyText"/>
      </w:pPr>
      <w:hyperlink r:id="rId83">
        <w:r>
          <w:rPr>
            <w:rStyle w:val="Hyperlink"/>
          </w:rPr>
          <w:t>https://www.cbpp.org/research/housing/policymakers-can-solve-homelessness-by-scaling-up-proven-solutions-rental?utm_source=chatgpt.com</w:t>
        </w:r>
      </w:hyperlink>
    </w:p>
    <w:p w14:paraId="4271EFC6" w14:textId="77777777" w:rsidR="002C43C2" w:rsidRDefault="00000000">
      <w:pPr>
        <w:pStyle w:val="BodyText"/>
      </w:pPr>
      <w:hyperlink r:id="rId84">
        <w:r>
          <w:rPr>
            <w:rStyle w:val="Hyperlink"/>
          </w:rPr>
          <w:t>[14]</w:t>
        </w:r>
      </w:hyperlink>
      <w:r>
        <w:t xml:space="preserve"> Evaluating Access to Cellphones for Telehealth Among ...</w:t>
      </w:r>
    </w:p>
    <w:p w14:paraId="280851E1" w14:textId="77777777" w:rsidR="002C43C2" w:rsidRDefault="00000000">
      <w:pPr>
        <w:pStyle w:val="BodyText"/>
      </w:pPr>
      <w:hyperlink r:id="rId85">
        <w:r>
          <w:rPr>
            <w:rStyle w:val="Hyperlink"/>
          </w:rPr>
          <w:t>https://journals.sagepub.com/doi/10.1177/15305627261417926?utm_source=chatgpt.com</w:t>
        </w:r>
      </w:hyperlink>
    </w:p>
    <w:p w14:paraId="6239DB22" w14:textId="77777777" w:rsidR="002C43C2" w:rsidRDefault="00000000">
      <w:pPr>
        <w:pStyle w:val="BodyText"/>
      </w:pPr>
      <w:hyperlink r:id="rId86">
        <w:r>
          <w:rPr>
            <w:rStyle w:val="Hyperlink"/>
          </w:rPr>
          <w:t>[16]</w:t>
        </w:r>
      </w:hyperlink>
      <w:r>
        <w:t xml:space="preserve"> The effect of a non-congregate, integrated care shelter on health</w:t>
      </w:r>
    </w:p>
    <w:p w14:paraId="6098A29B" w14:textId="77777777" w:rsidR="002C43C2" w:rsidRDefault="00000000">
      <w:pPr>
        <w:pStyle w:val="BodyText"/>
      </w:pPr>
      <w:hyperlink r:id="rId87">
        <w:r>
          <w:rPr>
            <w:rStyle w:val="Hyperlink"/>
          </w:rPr>
          <w:t>https://pmc.ncbi.nlm.nih.gov/articles/PMC11497411/?utm_source=chatgpt.com</w:t>
        </w:r>
      </w:hyperlink>
    </w:p>
    <w:p w14:paraId="5AA30CCB" w14:textId="77777777" w:rsidR="002C43C2" w:rsidRDefault="00000000">
      <w:pPr>
        <w:pStyle w:val="BodyText"/>
      </w:pPr>
      <w:hyperlink r:id="rId88">
        <w:r>
          <w:rPr>
            <w:rStyle w:val="Hyperlink"/>
          </w:rPr>
          <w:t>[17]</w:t>
        </w:r>
      </w:hyperlink>
      <w:r>
        <w:t xml:space="preserve"> </w:t>
      </w:r>
      <w:hyperlink r:id="rId89">
        <w:r>
          <w:rPr>
            <w:rStyle w:val="Hyperlink"/>
          </w:rPr>
          <w:t>[34]</w:t>
        </w:r>
      </w:hyperlink>
      <w:r>
        <w:t xml:space="preserve"> hud.gov</w:t>
      </w:r>
    </w:p>
    <w:p w14:paraId="3C2EA495" w14:textId="77777777" w:rsidR="002C43C2" w:rsidRDefault="00000000">
      <w:pPr>
        <w:pStyle w:val="BodyText"/>
      </w:pPr>
      <w:hyperlink r:id="rId90">
        <w:r>
          <w:rPr>
            <w:rStyle w:val="Hyperlink"/>
          </w:rPr>
          <w:t>https://www.hud.gov/sites/documents/17-01cpdn.pdf</w:t>
        </w:r>
      </w:hyperlink>
    </w:p>
    <w:p w14:paraId="646CC3FD" w14:textId="77777777" w:rsidR="002C43C2" w:rsidRDefault="00000000">
      <w:pPr>
        <w:pStyle w:val="BodyText"/>
      </w:pPr>
      <w:hyperlink r:id="rId91">
        <w:r>
          <w:rPr>
            <w:rStyle w:val="Hyperlink"/>
          </w:rPr>
          <w:t>[19]</w:t>
        </w:r>
      </w:hyperlink>
      <w:r>
        <w:t xml:space="preserve"> FY 2024 HMIS Data Standards Manual</w:t>
      </w:r>
    </w:p>
    <w:p w14:paraId="3BA7B546" w14:textId="77777777" w:rsidR="002C43C2" w:rsidRDefault="00000000">
      <w:pPr>
        <w:pStyle w:val="BodyText"/>
      </w:pPr>
      <w:hyperlink r:id="rId92">
        <w:r>
          <w:rPr>
            <w:rStyle w:val="Hyperlink"/>
          </w:rPr>
          <w:t>https://files.hudexchange.info/resources/documents/HMIS-Data-Standards-Manual-2024.pdf?utm_source=chatgpt.com</w:t>
        </w:r>
      </w:hyperlink>
    </w:p>
    <w:p w14:paraId="2BE21BA4" w14:textId="77777777" w:rsidR="002C43C2" w:rsidRDefault="00000000">
      <w:pPr>
        <w:pStyle w:val="BodyText"/>
      </w:pPr>
      <w:hyperlink r:id="rId93">
        <w:r>
          <w:rPr>
            <w:rStyle w:val="Hyperlink"/>
          </w:rPr>
          <w:t>[20]</w:t>
        </w:r>
      </w:hyperlink>
      <w:r>
        <w:t xml:space="preserve"> </w:t>
      </w:r>
      <w:hyperlink r:id="rId94">
        <w:r>
          <w:rPr>
            <w:rStyle w:val="Hyperlink"/>
          </w:rPr>
          <w:t>[35]</w:t>
        </w:r>
      </w:hyperlink>
      <w:r>
        <w:t xml:space="preserve"> 211 - Connecting People to Local Resources</w:t>
      </w:r>
    </w:p>
    <w:p w14:paraId="1C4B3AEC" w14:textId="77777777" w:rsidR="002C43C2" w:rsidRDefault="00000000">
      <w:pPr>
        <w:pStyle w:val="BodyText"/>
      </w:pPr>
      <w:hyperlink r:id="rId95">
        <w:r>
          <w:rPr>
            <w:rStyle w:val="Hyperlink"/>
          </w:rPr>
          <w:t>https://www.unitedway.org/our-impact/community-resiliency/211-connecting-people-to-local-resources?utm_source=chatgpt.com</w:t>
        </w:r>
      </w:hyperlink>
    </w:p>
    <w:p w14:paraId="0D202922" w14:textId="77777777" w:rsidR="002C43C2" w:rsidRDefault="00000000">
      <w:pPr>
        <w:pStyle w:val="BodyText"/>
      </w:pPr>
      <w:hyperlink r:id="rId96">
        <w:r>
          <w:rPr>
            <w:rStyle w:val="Hyperlink"/>
          </w:rPr>
          <w:t>[22]</w:t>
        </w:r>
      </w:hyperlink>
      <w:r>
        <w:t xml:space="preserve"> 2-1-1 Colorado</w:t>
      </w:r>
    </w:p>
    <w:p w14:paraId="25D6B613" w14:textId="77777777" w:rsidR="002C43C2" w:rsidRDefault="00000000">
      <w:pPr>
        <w:pStyle w:val="BodyText"/>
      </w:pPr>
      <w:hyperlink r:id="rId97">
        <w:r>
          <w:rPr>
            <w:rStyle w:val="Hyperlink"/>
          </w:rPr>
          <w:t>https://www.211colorado.org/?utm_source=chatgpt.com</w:t>
        </w:r>
      </w:hyperlink>
    </w:p>
    <w:p w14:paraId="3913BDA3" w14:textId="77777777" w:rsidR="002C43C2" w:rsidRDefault="00000000">
      <w:pPr>
        <w:pStyle w:val="BodyText"/>
      </w:pPr>
      <w:hyperlink r:id="rId98">
        <w:r>
          <w:rPr>
            <w:rStyle w:val="Hyperlink"/>
          </w:rPr>
          <w:t>[23]</w:t>
        </w:r>
      </w:hyperlink>
      <w:r>
        <w:t xml:space="preserve"> Function calling with Gemma 4 | Google AI for Developers</w:t>
      </w:r>
    </w:p>
    <w:p w14:paraId="455EDBAC" w14:textId="77777777" w:rsidR="002C43C2" w:rsidRDefault="00000000">
      <w:pPr>
        <w:pStyle w:val="BodyText"/>
      </w:pPr>
      <w:hyperlink r:id="rId99">
        <w:r>
          <w:rPr>
            <w:rStyle w:val="Hyperlink"/>
          </w:rPr>
          <w:t>https://ai.google.dev/gemma/docs/capabilities/text/function-calling-gemma4?utm_source=chatgpt.com</w:t>
        </w:r>
      </w:hyperlink>
    </w:p>
    <w:p w14:paraId="631E3DEF" w14:textId="77777777" w:rsidR="002C43C2" w:rsidRDefault="00000000">
      <w:pPr>
        <w:pStyle w:val="BodyText"/>
      </w:pPr>
      <w:hyperlink r:id="rId100">
        <w:r>
          <w:rPr>
            <w:rStyle w:val="Hyperlink"/>
          </w:rPr>
          <w:t>[24]</w:t>
        </w:r>
      </w:hyperlink>
      <w:r>
        <w:t xml:space="preserve"> google-ai-edge/LiteRT-LM</w:t>
      </w:r>
    </w:p>
    <w:p w14:paraId="1A3ADB9C" w14:textId="77777777" w:rsidR="002C43C2" w:rsidRDefault="00000000">
      <w:pPr>
        <w:pStyle w:val="BodyText"/>
      </w:pPr>
      <w:hyperlink r:id="rId101">
        <w:r>
          <w:rPr>
            <w:rStyle w:val="Hyperlink"/>
          </w:rPr>
          <w:t>https://github.com/google-ai-edge/LiteRT-LM?utm_source=chatgpt.com</w:t>
        </w:r>
      </w:hyperlink>
    </w:p>
    <w:p w14:paraId="5F07A4B8" w14:textId="77777777" w:rsidR="002C43C2" w:rsidRDefault="00000000">
      <w:pPr>
        <w:pStyle w:val="BodyText"/>
      </w:pPr>
      <w:hyperlink r:id="rId102">
        <w:r>
          <w:rPr>
            <w:rStyle w:val="Hyperlink"/>
          </w:rPr>
          <w:t>[27]</w:t>
        </w:r>
      </w:hyperlink>
      <w:r>
        <w:t xml:space="preserve"> Artificial Intelligence Risk Management Framework (AI RMF 1.0)</w:t>
      </w:r>
    </w:p>
    <w:p w14:paraId="434717C3" w14:textId="77777777" w:rsidR="002C43C2" w:rsidRDefault="00000000">
      <w:pPr>
        <w:pStyle w:val="BodyText"/>
      </w:pPr>
      <w:hyperlink r:id="rId103">
        <w:r>
          <w:rPr>
            <w:rStyle w:val="Hyperlink"/>
          </w:rPr>
          <w:t>https://nvlpubs.nist.gov/nistpubs/ai/nist.ai.100-1.pdf</w:t>
        </w:r>
      </w:hyperlink>
    </w:p>
    <w:p w14:paraId="1967636B" w14:textId="77777777" w:rsidR="002C43C2" w:rsidRDefault="00000000">
      <w:pPr>
        <w:pStyle w:val="BodyText"/>
      </w:pPr>
      <w:hyperlink r:id="rId104">
        <w:r>
          <w:rPr>
            <w:rStyle w:val="Hyperlink"/>
          </w:rPr>
          <w:t>[28]</w:t>
        </w:r>
      </w:hyperlink>
      <w:r>
        <w:t xml:space="preserve"> Minimum Necessary Requirement</w:t>
      </w:r>
    </w:p>
    <w:p w14:paraId="2E5DAF9A" w14:textId="77777777" w:rsidR="002C43C2" w:rsidRDefault="00000000">
      <w:pPr>
        <w:pStyle w:val="BodyText"/>
      </w:pPr>
      <w:hyperlink r:id="rId105">
        <w:r>
          <w:rPr>
            <w:rStyle w:val="Hyperlink"/>
          </w:rPr>
          <w:t>https://www.hhs.gov/hipaa/for-professionals/privacy/guidance/minimum-necessary-requirement/index.html?utm_source=chatgpt.com</w:t>
        </w:r>
      </w:hyperlink>
    </w:p>
    <w:p w14:paraId="5B267578" w14:textId="77777777" w:rsidR="002C43C2" w:rsidRDefault="00000000">
      <w:pPr>
        <w:pStyle w:val="BodyText"/>
      </w:pPr>
      <w:hyperlink r:id="rId106">
        <w:r>
          <w:rPr>
            <w:rStyle w:val="Hyperlink"/>
          </w:rPr>
          <w:t>[36]</w:t>
        </w:r>
      </w:hyperlink>
      <w:r>
        <w:t xml:space="preserve"> Medical Respite Literature Review: An Update on the ...</w:t>
      </w:r>
    </w:p>
    <w:p w14:paraId="6D756438" w14:textId="77777777" w:rsidR="002C43C2" w:rsidRDefault="00000000">
      <w:pPr>
        <w:pStyle w:val="BodyText"/>
      </w:pPr>
      <w:hyperlink r:id="rId107">
        <w:r>
          <w:rPr>
            <w:rStyle w:val="Hyperlink"/>
          </w:rPr>
          <w:t>https://nimrc.org/wp-content/uploads/2021/08/NIMRC_Medical-Respite-Literature-Review.pdf?utm_source=chatgpt.com</w:t>
        </w:r>
      </w:hyperlink>
      <w:bookmarkEnd w:id="30"/>
    </w:p>
    <w:sectPr w:rsidR="002C43C2">
      <w:headerReference w:type="default" r:id="rId108"/>
      <w:footerReference w:type="default" r:id="rId109"/>
      <w:footnotePr>
        <w:numRestart w:val="eachSect"/>
      </w:footnotePr>
      <w:pgSz w:w="12240" w:h="15840"/>
      <w:pgMar w:top="1440" w:right="1440" w:bottom="1440" w:left="1440" w:header="720" w:footer="720" w:gutter="0"/>
      <w:cols w:space="72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34761ED3" w14:textId="77777777" w:rsidR="004A733C" w:rsidRDefault="004A733C" w:rsidP="00251355">
      <w:pPr>
        <w:spacing w:after="0"/>
      </w:pPr>
      <w:r>
        <w:separator/>
      </w:r>
    </w:p>
  </w:endnote>
  <w:endnote w:type="continuationSeparator" w:id="0">
    <w:p w14:paraId="5BA751AF" w14:textId="77777777" w:rsidR="004A733C" w:rsidRDefault="004A733C" w:rsidP="00251355">
      <w:pPr>
        <w:spacing w:after="0"/>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 w:name="Consolas">
    <w:panose1 w:val="020B0609020204030204"/>
    <w:charset w:val="00"/>
    <w:family w:val="modern"/>
    <w:pitch w:val="fixed"/>
    <w:sig w:usb0="E00006FF" w:usb1="0000FCFF" w:usb2="00000001" w:usb3="00000000" w:csb0="0000019F" w:csb1="00000000"/>
  </w:font>
  <w:font w:name="Cambria Math">
    <w:panose1 w:val="02040503050406030204"/>
    <w:charset w:val="00"/>
    <w:family w:val="roman"/>
    <w:pitch w:val="variable"/>
    <w:sig w:usb0="E00006FF" w:usb1="420024FF" w:usb2="02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1712612309"/>
      <w:docPartObj>
        <w:docPartGallery w:val="Page Numbers (Bottom of Page)"/>
        <w:docPartUnique/>
      </w:docPartObj>
    </w:sdtPr>
    <w:sdtEndPr>
      <w:rPr>
        <w:color w:val="7F7F7F" w:themeColor="background1" w:themeShade="7F"/>
        <w:spacing w:val="60"/>
      </w:rPr>
    </w:sdtEndPr>
    <w:sdtContent>
      <w:p w14:paraId="44DFB3BF" w14:textId="0AAD3D04" w:rsidR="00251355" w:rsidRDefault="00251355">
        <w:pPr>
          <w:pStyle w:val="Footer"/>
          <w:pBdr>
            <w:top w:val="single" w:sz="4" w:space="1" w:color="D9D9D9" w:themeColor="background1" w:themeShade="D9"/>
          </w:pBdr>
          <w:rPr>
            <w:b/>
            <w:bCs/>
          </w:rPr>
        </w:pPr>
        <w:r>
          <w:fldChar w:fldCharType="begin"/>
        </w:r>
        <w:r>
          <w:instrText xml:space="preserve"> PAGE   \* MERGEFORMAT </w:instrText>
        </w:r>
        <w:r>
          <w:fldChar w:fldCharType="separate"/>
        </w:r>
        <w:r>
          <w:rPr>
            <w:b/>
            <w:bCs/>
            <w:noProof/>
          </w:rPr>
          <w:t>2</w:t>
        </w:r>
        <w:r>
          <w:rPr>
            <w:b/>
            <w:bCs/>
            <w:noProof/>
          </w:rPr>
          <w:fldChar w:fldCharType="end"/>
        </w:r>
        <w:r>
          <w:rPr>
            <w:b/>
            <w:bCs/>
          </w:rPr>
          <w:t xml:space="preserve"> | </w:t>
        </w:r>
        <w:r>
          <w:rPr>
            <w:color w:val="7F7F7F" w:themeColor="background1" w:themeShade="7F"/>
            <w:spacing w:val="60"/>
          </w:rPr>
          <w:t>Page</w:t>
        </w:r>
      </w:p>
    </w:sdtContent>
  </w:sdt>
  <w:p w14:paraId="273D4341" w14:textId="77777777" w:rsidR="00251355" w:rsidRDefault="00251355">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1BAE0929" w14:textId="77777777" w:rsidR="004A733C" w:rsidRDefault="004A733C" w:rsidP="00251355">
      <w:pPr>
        <w:spacing w:after="0"/>
      </w:pPr>
      <w:r>
        <w:separator/>
      </w:r>
    </w:p>
  </w:footnote>
  <w:footnote w:type="continuationSeparator" w:id="0">
    <w:p w14:paraId="2F6CB33B" w14:textId="77777777" w:rsidR="004A733C" w:rsidRDefault="004A733C" w:rsidP="00251355">
      <w:pPr>
        <w:spacing w:after="0"/>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A9084CA" w14:textId="491A9ECA" w:rsidR="00251355" w:rsidRPr="00251355" w:rsidRDefault="00251355">
    <w:pPr>
      <w:pStyle w:val="Header"/>
      <w:rPr>
        <w:sz w:val="20"/>
        <w:szCs w:val="20"/>
      </w:rPr>
    </w:pPr>
    <w:r w:rsidRPr="00251355">
      <w:rPr>
        <w:sz w:val="20"/>
        <w:szCs w:val="20"/>
      </w:rPr>
      <w:t>© 2026 by Pastor T. Jerry Mahabub, Ph.D.</w:t>
    </w:r>
    <w:r w:rsidRPr="00251355">
      <w:rPr>
        <w:sz w:val="20"/>
        <w:szCs w:val="20"/>
      </w:rPr>
      <w:tab/>
    </w:r>
    <w:r w:rsidRPr="00251355">
      <w:rPr>
        <w:sz w:val="20"/>
        <w:szCs w:val="20"/>
      </w:rPr>
      <w:tab/>
      <w:t>April 3, 2026</w:t>
    </w:r>
  </w:p>
  <w:p w14:paraId="1D508D45" w14:textId="40225ADD" w:rsidR="00251355" w:rsidRPr="00251355" w:rsidRDefault="00251355">
    <w:pPr>
      <w:pStyle w:val="Header"/>
      <w:rPr>
        <w:sz w:val="18"/>
        <w:szCs w:val="18"/>
      </w:rPr>
    </w:pPr>
    <w:r w:rsidRPr="00251355">
      <w:rPr>
        <w:sz w:val="18"/>
        <w:szCs w:val="18"/>
      </w:rPr>
      <w:t>All rights reserved.</w: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000A990"/>
    <w:multiLevelType w:val="multilevel"/>
    <w:tmpl w:val="DCE49DE2"/>
    <w:lvl w:ilvl="0">
      <w:numFmt w:val="bullet"/>
      <w:lvlText w:val=" "/>
      <w:lvlJc w:val="left"/>
      <w:pPr>
        <w:ind w:left="720" w:hanging="360"/>
      </w:pPr>
    </w:lvl>
    <w:lvl w:ilvl="1">
      <w:numFmt w:val="bullet"/>
      <w:lvlText w:val=" "/>
      <w:lvlJc w:val="left"/>
      <w:pPr>
        <w:ind w:left="1440" w:hanging="360"/>
      </w:pPr>
    </w:lvl>
    <w:lvl w:ilvl="2">
      <w:numFmt w:val="bullet"/>
      <w:lvlText w:val=" "/>
      <w:lvlJc w:val="left"/>
      <w:pPr>
        <w:ind w:left="2160" w:hanging="360"/>
      </w:pPr>
    </w:lvl>
    <w:lvl w:ilvl="3">
      <w:numFmt w:val="bullet"/>
      <w:lvlText w:val=" "/>
      <w:lvlJc w:val="left"/>
      <w:pPr>
        <w:ind w:left="2880" w:hanging="360"/>
      </w:pPr>
    </w:lvl>
    <w:lvl w:ilvl="4">
      <w:numFmt w:val="bullet"/>
      <w:lvlText w:val=" "/>
      <w:lvlJc w:val="left"/>
      <w:pPr>
        <w:ind w:left="3600" w:hanging="360"/>
      </w:pPr>
    </w:lvl>
    <w:lvl w:ilvl="5">
      <w:numFmt w:val="bullet"/>
      <w:lvlText w:val=" "/>
      <w:lvlJc w:val="left"/>
      <w:pPr>
        <w:ind w:left="4320" w:hanging="360"/>
      </w:pPr>
    </w:lvl>
    <w:lvl w:ilvl="6">
      <w:numFmt w:val="bullet"/>
      <w:lvlText w:val=" "/>
      <w:lvlJc w:val="left"/>
      <w:pPr>
        <w:ind w:left="5040" w:hanging="360"/>
      </w:pPr>
    </w:lvl>
    <w:lvl w:ilvl="7">
      <w:numFmt w:val="bullet"/>
      <w:lvlText w:val=" "/>
      <w:lvlJc w:val="left"/>
      <w:pPr>
        <w:ind w:left="5760" w:hanging="360"/>
      </w:pPr>
    </w:lvl>
    <w:lvl w:ilvl="8">
      <w:numFmt w:val="bullet"/>
      <w:lvlText w:val=" "/>
      <w:lvlJc w:val="left"/>
      <w:pPr>
        <w:ind w:left="6480" w:hanging="360"/>
      </w:pPr>
    </w:lvl>
  </w:abstractNum>
  <w:abstractNum w:abstractNumId="1" w15:restartNumberingAfterBreak="0">
    <w:nsid w:val="0000A991"/>
    <w:multiLevelType w:val="multilevel"/>
    <w:tmpl w:val="90EAE44A"/>
    <w:lvl w:ilvl="0">
      <w:numFmt w:val="bullet"/>
      <w:lvlText w:val=""/>
      <w:lvlJc w:val="left"/>
      <w:pPr>
        <w:ind w:left="720" w:hanging="360"/>
      </w:pPr>
      <w:rPr>
        <w:rFonts w:ascii="Symbol" w:hAnsi="Symbol" w:cs="Symbol" w:hint="default"/>
      </w:rPr>
    </w:lvl>
    <w:lvl w:ilvl="1">
      <w:numFmt w:val="bullet"/>
      <w:lvlText w:val="o"/>
      <w:lvlJc w:val="left"/>
      <w:pPr>
        <w:ind w:left="1440" w:hanging="360"/>
      </w:pPr>
      <w:rPr>
        <w:rFonts w:ascii="Courier New" w:hAnsi="Courier New" w:cs="Courier New" w:hint="default"/>
      </w:rPr>
    </w:lvl>
    <w:lvl w:ilvl="2">
      <w:numFmt w:val="bullet"/>
      <w:lvlText w:val=""/>
      <w:lvlJc w:val="left"/>
      <w:pPr>
        <w:ind w:left="2160" w:hanging="360"/>
      </w:pPr>
      <w:rPr>
        <w:rFonts w:ascii="Wingdings" w:hAnsi="Wingdings" w:cs="Wingdings" w:hint="default"/>
      </w:rPr>
    </w:lvl>
    <w:lvl w:ilvl="3">
      <w:numFmt w:val="bullet"/>
      <w:lvlText w:val=""/>
      <w:lvlJc w:val="left"/>
      <w:pPr>
        <w:ind w:left="2880" w:hanging="360"/>
      </w:pPr>
      <w:rPr>
        <w:rFonts w:ascii="Symbol" w:hAnsi="Symbol" w:cs="Symbol" w:hint="default"/>
      </w:rPr>
    </w:lvl>
    <w:lvl w:ilvl="4">
      <w:numFmt w:val="bullet"/>
      <w:lvlText w:val="o"/>
      <w:lvlJc w:val="left"/>
      <w:pPr>
        <w:ind w:left="3600" w:hanging="360"/>
      </w:pPr>
      <w:rPr>
        <w:rFonts w:ascii="Courier New" w:hAnsi="Courier New" w:cs="Courier New" w:hint="default"/>
      </w:rPr>
    </w:lvl>
    <w:lvl w:ilvl="5">
      <w:numFmt w:val="bullet"/>
      <w:lvlText w:val=""/>
      <w:lvlJc w:val="left"/>
      <w:pPr>
        <w:ind w:left="4320" w:hanging="360"/>
      </w:pPr>
      <w:rPr>
        <w:rFonts w:ascii="Wingdings" w:hAnsi="Wingdings" w:cs="Wingdings" w:hint="default"/>
      </w:rPr>
    </w:lvl>
    <w:lvl w:ilvl="6">
      <w:numFmt w:val="bullet"/>
      <w:lvlText w:val=""/>
      <w:lvlJc w:val="left"/>
      <w:pPr>
        <w:ind w:left="5040" w:hanging="360"/>
      </w:pPr>
      <w:rPr>
        <w:rFonts w:ascii="Symbol" w:hAnsi="Symbol" w:cs="Symbol" w:hint="default"/>
      </w:rPr>
    </w:lvl>
    <w:lvl w:ilvl="7">
      <w:numFmt w:val="bullet"/>
      <w:lvlText w:val="o"/>
      <w:lvlJc w:val="left"/>
      <w:pPr>
        <w:ind w:left="5760" w:hanging="360"/>
      </w:pPr>
      <w:rPr>
        <w:rFonts w:ascii="Courier New" w:hAnsi="Courier New" w:cs="Courier New" w:hint="default"/>
      </w:rPr>
    </w:lvl>
    <w:lvl w:ilvl="8">
      <w:numFmt w:val="bullet"/>
      <w:lvlText w:val=""/>
      <w:lvlJc w:val="left"/>
      <w:pPr>
        <w:ind w:left="6480" w:hanging="360"/>
      </w:pPr>
      <w:rPr>
        <w:rFonts w:ascii="Wingdings" w:hAnsi="Wingdings" w:cs="Wingdings" w:hint="default"/>
      </w:rPr>
    </w:lvl>
  </w:abstractNum>
  <w:abstractNum w:abstractNumId="2" w15:restartNumberingAfterBreak="0">
    <w:nsid w:val="00A99201"/>
    <w:multiLevelType w:val="multilevel"/>
    <w:tmpl w:val="29D42AF2"/>
    <w:lvl w:ilvl="0">
      <w:start w:val="1"/>
      <w:numFmt w:val="decimal"/>
      <w:lvlText w:val="%1."/>
      <w:lvlJc w:val="left"/>
      <w:pPr>
        <w:ind w:left="720" w:hanging="360"/>
      </w:pPr>
    </w:lvl>
    <w:lvl w:ilvl="1">
      <w:start w:val="1"/>
      <w:numFmt w:val="lowerLetter"/>
      <w:lvlText w:val="%2."/>
      <w:lvlJc w:val="left"/>
      <w:pPr>
        <w:ind w:left="1440" w:hanging="360"/>
      </w:pPr>
    </w:lvl>
    <w:lvl w:ilvl="2">
      <w:start w:val="1"/>
      <w:numFmt w:val="lowerRoman"/>
      <w:lvlText w:val="%3."/>
      <w:lvlJc w:val="left"/>
      <w:pPr>
        <w:ind w:left="2160" w:hanging="360"/>
      </w:pPr>
    </w:lvl>
    <w:lvl w:ilvl="3">
      <w:start w:val="1"/>
      <w:numFmt w:val="decimal"/>
      <w:lvlText w:val="%4."/>
      <w:lvlJc w:val="left"/>
      <w:pPr>
        <w:ind w:left="2880" w:hanging="360"/>
      </w:pPr>
    </w:lvl>
    <w:lvl w:ilvl="4">
      <w:start w:val="1"/>
      <w:numFmt w:val="lowerLetter"/>
      <w:lvlText w:val="%5."/>
      <w:lvlJc w:val="left"/>
      <w:pPr>
        <w:ind w:left="3600" w:hanging="360"/>
      </w:pPr>
    </w:lvl>
    <w:lvl w:ilvl="5">
      <w:start w:val="1"/>
      <w:numFmt w:val="lowerRoman"/>
      <w:lvlText w:val="%6."/>
      <w:lvlJc w:val="left"/>
      <w:pPr>
        <w:ind w:left="4320" w:hanging="360"/>
      </w:pPr>
    </w:lvl>
    <w:lvl w:ilvl="6">
      <w:start w:val="1"/>
      <w:numFmt w:val="decimal"/>
      <w:lvlText w:val="%7."/>
      <w:lvlJc w:val="left"/>
      <w:pPr>
        <w:ind w:left="5040" w:hanging="360"/>
      </w:pPr>
    </w:lvl>
    <w:lvl w:ilvl="7">
      <w:start w:val="1"/>
      <w:numFmt w:val="lowerLetter"/>
      <w:lvlText w:val="%8."/>
      <w:lvlJc w:val="left"/>
      <w:pPr>
        <w:ind w:left="5760" w:hanging="360"/>
      </w:pPr>
    </w:lvl>
    <w:lvl w:ilvl="8">
      <w:start w:val="1"/>
      <w:numFmt w:val="lowerRoman"/>
      <w:lvlText w:val="%9."/>
      <w:lvlJc w:val="left"/>
      <w:pPr>
        <w:ind w:left="6480" w:hanging="360"/>
      </w:pPr>
    </w:lvl>
  </w:abstractNum>
  <w:num w:numId="1" w16cid:durableId="1073040378">
    <w:abstractNumId w:val="0"/>
  </w:num>
  <w:num w:numId="2" w16cid:durableId="664865760">
    <w:abstractNumId w:val="1"/>
  </w:num>
  <w:num w:numId="3" w16cid:durableId="1355963776">
    <w:abstractNumId w:val="1"/>
  </w:num>
  <w:num w:numId="4" w16cid:durableId="335378016">
    <w:abstractNumId w:val="1"/>
  </w:num>
  <w:num w:numId="5" w16cid:durableId="702948543">
    <w:abstractNumId w:val="2"/>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embedSystemFonts/>
  <w:proofState w:spelling="clean" w:grammar="clean"/>
  <w:stylePaneFormatFilter w:val="0004" w:allStyles="0" w:customStyles="0" w:latentStyles="1" w:stylesInUse="0" w:headingStyles="0" w:numberingStyles="0" w:tableStyles="0" w:directFormattingOnRuns="0" w:directFormattingOnParagraphs="0" w:directFormattingOnNumbering="0" w:directFormattingOnTables="0" w:clearFormatting="0" w:top3HeadingStyles="0" w:visibleStyles="0" w:alternateStyleNames="0"/>
  <w:defaultTabStop w:val="720"/>
  <w:drawingGridHorizontalSpacing w:val="360"/>
  <w:drawingGridVerticalSpacing w:val="360"/>
  <w:displayHorizontalDrawingGridEvery w:val="0"/>
  <w:displayVerticalDrawingGridEvery w:val="0"/>
  <w:characterSpacingControl w:val="doNotCompress"/>
  <w:hdrShapeDefaults>
    <o:shapedefaults v:ext="edit" spidmax="2050"/>
  </w:hdrShapeDefaults>
  <w:footnotePr>
    <w:numRestart w:val="eachSect"/>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2C43C2"/>
    <w:rsid w:val="00251355"/>
    <w:rsid w:val="002C43C2"/>
    <w:rsid w:val="004A733C"/>
    <w:rsid w:val="008D62E1"/>
    <w:rsid w:val="00E95A81"/>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5D013508"/>
  <w15:docId w15:val="{03CB3A95-AB9B-480D-AD6B-846BB484305B}"/>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4"/>
        <w:szCs w:val="24"/>
        <w:lang w:val="en" w:eastAsia="en-US" w:bidi="ar-SA"/>
      </w:rPr>
    </w:rPrDefault>
    <w:pPrDefault>
      <w:pPr>
        <w:spacing w:after="200"/>
      </w:pPr>
    </w:pPrDefault>
  </w:docDefaults>
  <w:latentStyles w:defLockedState="0" w:defUIPriority="0" w:defSemiHidden="0" w:defUnhideWhenUsed="0" w:defQFormat="0" w:count="376">
    <w:lsdException w:name="footer" w:uiPriority="99"/>
    <w:lsdException w:name="Normal Table"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Table Theme" w:semiHidden="1" w:unhideWhenUsed="1"/>
    <w:lsdException w:name="Light Shading"/>
    <w:lsdException w:name="Light List"/>
    <w:lsdException w:name="Light Grid"/>
    <w:lsdException w:name="Medium Shading 1"/>
    <w:lsdException w:name="Medium Shading 2"/>
    <w:lsdException w:name="Medium List 1"/>
    <w:lsdException w:name="Medium List 2"/>
    <w:lsdException w:name="Medium Grid 1"/>
    <w:lsdException w:name="Medium Grid 2"/>
    <w:lsdException w:name="Medium Grid 3"/>
    <w:lsdException w:name="Dark List"/>
    <w:lsdException w:name="Colorful Shading"/>
    <w:lsdException w:name="Colorful List"/>
    <w:lsdException w:name="Colorful Grid"/>
    <w:lsdException w:name="Light Shading Accent 1"/>
    <w:lsdException w:name="Light List Accent 1"/>
    <w:lsdException w:name="Light Grid Accent 1"/>
    <w:lsdException w:name="Medium Shading 1 Accent 1"/>
    <w:lsdException w:name="Medium Shading 2 Accent 1"/>
    <w:lsdException w:name="Medium List 1 Accent 1"/>
    <w:lsdException w:name="Medium List 2 Accent 1"/>
    <w:lsdException w:name="Medium Grid 1 Accent 1"/>
    <w:lsdException w:name="Medium Grid 2 Accent 1"/>
    <w:lsdException w:name="Medium Grid 3 Accent 1"/>
    <w:lsdException w:name="Dark List Accent 1"/>
    <w:lsdException w:name="Colorful Shading Accent 1"/>
    <w:lsdException w:name="Colorful List Accent 1"/>
    <w:lsdException w:name="Colorful Grid Accent 1"/>
    <w:lsdException w:name="Light Shading Accent 2"/>
    <w:lsdException w:name="Light List Accent 2"/>
    <w:lsdException w:name="Light Grid Accent 2"/>
    <w:lsdException w:name="Medium Shading 1 Accent 2"/>
    <w:lsdException w:name="Medium Shading 2 Accent 2"/>
    <w:lsdException w:name="Medium List 1 Accent 2"/>
    <w:lsdException w:name="Medium List 2 Accent 2"/>
    <w:lsdException w:name="Medium Grid 1 Accent 2"/>
    <w:lsdException w:name="Medium Grid 2 Accent 2"/>
    <w:lsdException w:name="Medium Grid 3 Accent 2"/>
    <w:lsdException w:name="Dark List Accent 2"/>
    <w:lsdException w:name="Colorful Shading Accent 2"/>
    <w:lsdException w:name="Colorful List Accent 2"/>
    <w:lsdException w:name="Colorful Grid Accent 2"/>
    <w:lsdException w:name="Light Shading Accent 3"/>
    <w:lsdException w:name="Light List Accent 3"/>
    <w:lsdException w:name="Light Grid Accent 3"/>
    <w:lsdException w:name="Medium Shading 1 Accent 3"/>
    <w:lsdException w:name="Medium Shading 2 Accent 3"/>
    <w:lsdException w:name="Medium List 1 Accent 3"/>
    <w:lsdException w:name="Medium List 2 Accent 3"/>
    <w:lsdException w:name="Medium Grid 1 Accent 3"/>
    <w:lsdException w:name="Medium Grid 2 Accent 3"/>
    <w:lsdException w:name="Medium Grid 3 Accent 3"/>
    <w:lsdException w:name="Dark List Accent 3"/>
    <w:lsdException w:name="Colorful Shading Accent 3"/>
    <w:lsdException w:name="Colorful List Accent 3"/>
    <w:lsdException w:name="Colorful Grid Accent 3"/>
    <w:lsdException w:name="Light Shading Accent 4"/>
    <w:lsdException w:name="Light List Accent 4"/>
    <w:lsdException w:name="Light Grid Accent 4"/>
    <w:lsdException w:name="Medium Shading 1 Accent 4"/>
    <w:lsdException w:name="Medium Shading 2 Accent 4"/>
    <w:lsdException w:name="Medium List 1 Accent 4"/>
    <w:lsdException w:name="Medium List 2 Accent 4"/>
    <w:lsdException w:name="Medium Grid 1 Accent 4"/>
    <w:lsdException w:name="Medium Grid 2 Accent 4"/>
    <w:lsdException w:name="Medium Grid 3 Accent 4"/>
    <w:lsdException w:name="Dark List Accent 4"/>
    <w:lsdException w:name="Colorful Shading Accent 4"/>
    <w:lsdException w:name="Colorful List Accent 4"/>
    <w:lsdException w:name="Colorful Grid Accent 4"/>
    <w:lsdException w:name="Light Shading Accent 5"/>
    <w:lsdException w:name="Light List Accent 5"/>
    <w:lsdException w:name="Light Grid Accent 5"/>
    <w:lsdException w:name="Medium Shading 1 Accent 5"/>
    <w:lsdException w:name="Medium Shading 2 Accent 5"/>
    <w:lsdException w:name="Medium List 1 Accent 5"/>
    <w:lsdException w:name="Medium List 2 Accent 5"/>
    <w:lsdException w:name="Medium Grid 1 Accent 5"/>
    <w:lsdException w:name="Medium Grid 2 Accent 5"/>
    <w:lsdException w:name="Medium Grid 3 Accent 5"/>
    <w:lsdException w:name="Dark List Accent 5"/>
    <w:lsdException w:name="Colorful Shading Accent 5"/>
    <w:lsdException w:name="Colorful List Accent 5"/>
    <w:lsdException w:name="Colorful Grid Accent 5"/>
    <w:lsdException w:name="Light Shading Accent 6"/>
    <w:lsdException w:name="Light List Accent 6"/>
    <w:lsdException w:name="Light Grid Accent 6"/>
    <w:lsdException w:name="Medium Shading 1 Accent 6"/>
    <w:lsdException w:name="Medium Shading 2 Accent 6"/>
    <w:lsdException w:name="Medium List 1 Accent 6"/>
    <w:lsdException w:name="Medium List 2 Accent 6"/>
    <w:lsdException w:name="Medium Grid 1 Accent 6"/>
    <w:lsdException w:name="Medium Grid 2 Accent 6"/>
    <w:lsdException w:name="Medium Grid 3 Accent 6"/>
    <w:lsdException w:name="Dark List Accent 6"/>
    <w:lsdException w:name="Colorful Shading Accent 6"/>
    <w:lsdException w:name="Colorful List Accent 6"/>
    <w:lsdException w:name="Colorful Grid Accent 6"/>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iPriority="99" w:unhideWhenUsed="1"/>
    <w:lsdException w:name="Smart Hyperlink" w:semiHidden="1" w:uiPriority="99" w:unhideWhenUsed="1"/>
    <w:lsdException w:name="Hashtag" w:semiHidden="1" w:uiPriority="99" w:unhideWhenUsed="1"/>
    <w:lsdException w:name="Unresolved Mention" w:semiHidden="1" w:uiPriority="99" w:unhideWhenUsed="1"/>
    <w:lsdException w:name="Smart Link" w:semiHidden="1" w:uiPriority="99" w:unhideWhenUsed="1"/>
  </w:latentStyles>
  <w:style w:type="paragraph" w:default="1" w:styleId="Normal">
    <w:name w:val="Normal"/>
    <w:qFormat/>
  </w:style>
  <w:style w:type="paragraph" w:styleId="Heading1">
    <w:name w:val="heading 1"/>
    <w:basedOn w:val="Normal"/>
    <w:next w:val="BodyText"/>
    <w:link w:val="Heading1Char"/>
    <w:uiPriority w:val="9"/>
    <w:qFormat/>
    <w:rsid w:val="00A10FD9"/>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BodyText"/>
    <w:link w:val="Heading2Char"/>
    <w:uiPriority w:val="9"/>
    <w:semiHidden/>
    <w:unhideWhenUsed/>
    <w:qFormat/>
    <w:rsid w:val="00A10FD9"/>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BodyText"/>
    <w:link w:val="Heading3Char"/>
    <w:uiPriority w:val="9"/>
    <w:semiHidden/>
    <w:unhideWhenUsed/>
    <w:qFormat/>
    <w:rsid w:val="00A10FD9"/>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BodyText"/>
    <w:link w:val="Heading4Char"/>
    <w:uiPriority w:val="9"/>
    <w:semiHidden/>
    <w:unhideWhenUsed/>
    <w:qFormat/>
    <w:rsid w:val="00A10FD9"/>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BodyText"/>
    <w:link w:val="Heading5Char"/>
    <w:uiPriority w:val="9"/>
    <w:semiHidden/>
    <w:unhideWhenUsed/>
    <w:qFormat/>
    <w:rsid w:val="00A10FD9"/>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BodyText"/>
    <w:link w:val="Heading6Char"/>
    <w:uiPriority w:val="9"/>
    <w:semiHidden/>
    <w:unhideWhenUsed/>
    <w:qFormat/>
    <w:rsid w:val="00A10FD9"/>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BodyText"/>
    <w:link w:val="Heading7Char"/>
    <w:uiPriority w:val="9"/>
    <w:semiHidden/>
    <w:unhideWhenUsed/>
    <w:qFormat/>
    <w:rsid w:val="00A10FD9"/>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BodyText"/>
    <w:link w:val="Heading8Char"/>
    <w:uiPriority w:val="9"/>
    <w:semiHidden/>
    <w:unhideWhenUsed/>
    <w:qFormat/>
    <w:rsid w:val="00A10FD9"/>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BodyText"/>
    <w:link w:val="Heading9Char"/>
    <w:uiPriority w:val="9"/>
    <w:semiHidden/>
    <w:unhideWhenUsed/>
    <w:qFormat/>
    <w:rsid w:val="00A10FD9"/>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BodyText">
    <w:name w:val="Body Text"/>
    <w:basedOn w:val="Normal"/>
    <w:qFormat/>
    <w:pPr>
      <w:spacing w:before="180" w:after="180"/>
    </w:pPr>
  </w:style>
  <w:style w:type="paragraph" w:customStyle="1" w:styleId="FirstParagraph">
    <w:name w:val="First Paragraph"/>
    <w:basedOn w:val="BodyText"/>
    <w:next w:val="BodyText"/>
    <w:qFormat/>
  </w:style>
  <w:style w:type="paragraph" w:customStyle="1" w:styleId="Compact">
    <w:name w:val="Compact"/>
    <w:basedOn w:val="BodyText"/>
    <w:qFormat/>
    <w:pPr>
      <w:spacing w:before="36" w:after="36"/>
    </w:pPr>
  </w:style>
  <w:style w:type="paragraph" w:styleId="Title">
    <w:name w:val="Title"/>
    <w:basedOn w:val="Normal"/>
    <w:next w:val="BodyText"/>
    <w:link w:val="TitleChar"/>
    <w:uiPriority w:val="10"/>
    <w:qFormat/>
    <w:rsid w:val="00A10FD9"/>
    <w:pPr>
      <w:spacing w:after="80"/>
      <w:contextualSpacing/>
      <w:jc w:val="center"/>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A10FD9"/>
    <w:rPr>
      <w:rFonts w:asciiTheme="majorHAnsi" w:eastAsiaTheme="majorEastAsia" w:hAnsiTheme="majorHAnsi" w:cstheme="majorBidi"/>
      <w:spacing w:val="-10"/>
      <w:kern w:val="28"/>
      <w:sz w:val="56"/>
      <w:szCs w:val="56"/>
    </w:rPr>
  </w:style>
  <w:style w:type="paragraph" w:styleId="Subtitle">
    <w:name w:val="Subtitle"/>
    <w:basedOn w:val="Title"/>
    <w:next w:val="BodyText"/>
    <w:link w:val="SubtitleChar"/>
    <w:uiPriority w:val="11"/>
    <w:qFormat/>
    <w:rsid w:val="00A10FD9"/>
    <w:pPr>
      <w:numPr>
        <w:ilvl w:val="1"/>
      </w:numPr>
    </w:pPr>
    <w:rPr>
      <w:spacing w:val="15"/>
      <w:sz w:val="28"/>
      <w:szCs w:val="28"/>
    </w:rPr>
  </w:style>
  <w:style w:type="character" w:customStyle="1" w:styleId="SubtitleChar">
    <w:name w:val="Subtitle Char"/>
    <w:basedOn w:val="DefaultParagraphFont"/>
    <w:link w:val="Subtitle"/>
    <w:uiPriority w:val="11"/>
    <w:rsid w:val="00A10FD9"/>
    <w:rPr>
      <w:rFonts w:eastAsiaTheme="majorEastAsia" w:cstheme="majorBidi"/>
      <w:color w:val="595959" w:themeColor="text1" w:themeTint="A6"/>
      <w:spacing w:val="15"/>
      <w:sz w:val="28"/>
      <w:szCs w:val="28"/>
    </w:rPr>
  </w:style>
  <w:style w:type="paragraph" w:customStyle="1" w:styleId="Author">
    <w:name w:val="Author"/>
    <w:next w:val="BodyText"/>
    <w:qFormat/>
    <w:pPr>
      <w:keepNext/>
      <w:keepLines/>
      <w:jc w:val="center"/>
    </w:pPr>
  </w:style>
  <w:style w:type="paragraph" w:styleId="Date">
    <w:name w:val="Date"/>
    <w:next w:val="BodyText"/>
    <w:qFormat/>
    <w:pPr>
      <w:keepNext/>
      <w:keepLines/>
      <w:jc w:val="center"/>
    </w:pPr>
  </w:style>
  <w:style w:type="paragraph" w:customStyle="1" w:styleId="AbstractTitle">
    <w:name w:val="Abstract Title"/>
    <w:basedOn w:val="Normal"/>
    <w:next w:val="Abstract"/>
    <w:qFormat/>
    <w:pPr>
      <w:keepNext/>
      <w:keepLines/>
      <w:spacing w:before="300" w:after="0"/>
      <w:jc w:val="center"/>
    </w:pPr>
    <w:rPr>
      <w:b/>
      <w:sz w:val="20"/>
      <w:szCs w:val="20"/>
    </w:rPr>
  </w:style>
  <w:style w:type="paragraph" w:customStyle="1" w:styleId="Abstract">
    <w:name w:val="Abstract"/>
    <w:basedOn w:val="Normal"/>
    <w:next w:val="BodyText"/>
    <w:qFormat/>
    <w:pPr>
      <w:keepNext/>
      <w:keepLines/>
      <w:spacing w:before="100" w:after="300"/>
    </w:pPr>
    <w:rPr>
      <w:sz w:val="20"/>
      <w:szCs w:val="20"/>
    </w:rPr>
  </w:style>
  <w:style w:type="paragraph" w:styleId="Bibliography">
    <w:name w:val="Bibliography"/>
    <w:basedOn w:val="Normal"/>
    <w:qFormat/>
  </w:style>
  <w:style w:type="character" w:customStyle="1" w:styleId="Heading1Char">
    <w:name w:val="Heading 1 Char"/>
    <w:basedOn w:val="DefaultParagraphFont"/>
    <w:link w:val="Heading1"/>
    <w:uiPriority w:val="9"/>
    <w:rsid w:val="00A10FD9"/>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A10FD9"/>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A10FD9"/>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A10FD9"/>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A10FD9"/>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A10FD9"/>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A10FD9"/>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A10FD9"/>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A10FD9"/>
    <w:rPr>
      <w:rFonts w:eastAsiaTheme="majorEastAsia" w:cstheme="majorBidi"/>
      <w:color w:val="272727" w:themeColor="text1" w:themeTint="D8"/>
    </w:rPr>
  </w:style>
  <w:style w:type="paragraph" w:styleId="BlockText">
    <w:name w:val="Block Text"/>
    <w:basedOn w:val="BodyText"/>
    <w:next w:val="BodyText"/>
    <w:uiPriority w:val="9"/>
    <w:unhideWhenUsed/>
    <w:qFormat/>
    <w:pPr>
      <w:spacing w:before="100" w:after="100"/>
      <w:ind w:left="480" w:right="480"/>
    </w:pPr>
  </w:style>
  <w:style w:type="paragraph" w:styleId="FootnoteText">
    <w:name w:val="footnote text"/>
    <w:basedOn w:val="Normal"/>
    <w:uiPriority w:val="9"/>
    <w:unhideWhenUsed/>
    <w:qFormat/>
  </w:style>
  <w:style w:type="paragraph" w:customStyle="1" w:styleId="FootnoteBlockText">
    <w:name w:val="Footnote Block Text"/>
    <w:basedOn w:val="FootnoteText"/>
    <w:next w:val="FootnoteText"/>
    <w:uiPriority w:val="9"/>
    <w:unhideWhenUsed/>
    <w:qFormat/>
    <w:pPr>
      <w:spacing w:before="100" w:after="100"/>
      <w:ind w:left="480" w:right="480"/>
    </w:pPr>
  </w:style>
  <w:style w:type="table" w:customStyle="1" w:styleId="Table">
    <w:name w:val="Table"/>
    <w:semiHidden/>
    <w:unhideWhenUsed/>
    <w:qFormat/>
    <w:tblPr>
      <w:tblInd w:w="0" w:type="dxa"/>
      <w:tblCellMar>
        <w:top w:w="0" w:type="dxa"/>
        <w:left w:w="108" w:type="dxa"/>
        <w:bottom w:w="0" w:type="dxa"/>
        <w:right w:w="108" w:type="dxa"/>
      </w:tblCellMar>
    </w:tblPr>
    <w:tblStylePr w:type="firstRow">
      <w:tblPr>
        <w:jc w:val="left"/>
      </w:tblPr>
      <w:trPr>
        <w:jc w:val="left"/>
      </w:trPr>
      <w:tcPr>
        <w:tcBorders>
          <w:bottom w:val="single" w:sz="0" w:space="0" w:color="auto"/>
        </w:tcBorders>
        <w:vAlign w:val="bottom"/>
      </w:tcPr>
    </w:tblStylePr>
  </w:style>
  <w:style w:type="paragraph" w:customStyle="1" w:styleId="DefinitionTerm">
    <w:name w:val="Definition Term"/>
    <w:basedOn w:val="Normal"/>
    <w:next w:val="Definition"/>
    <w:pPr>
      <w:keepNext/>
      <w:keepLines/>
      <w:spacing w:after="0"/>
    </w:pPr>
    <w:rPr>
      <w:b/>
    </w:rPr>
  </w:style>
  <w:style w:type="paragraph" w:customStyle="1" w:styleId="Definition">
    <w:name w:val="Definition"/>
    <w:basedOn w:val="Normal"/>
  </w:style>
  <w:style w:type="paragraph" w:styleId="Caption">
    <w:name w:val="caption"/>
    <w:basedOn w:val="Normal"/>
    <w:link w:val="CaptionChar"/>
    <w:pPr>
      <w:spacing w:after="120"/>
    </w:pPr>
    <w:rPr>
      <w:i/>
    </w:rPr>
  </w:style>
  <w:style w:type="paragraph" w:customStyle="1" w:styleId="TableCaption">
    <w:name w:val="Table Caption"/>
    <w:basedOn w:val="Caption"/>
    <w:pPr>
      <w:keepNext/>
    </w:pPr>
  </w:style>
  <w:style w:type="paragraph" w:customStyle="1" w:styleId="ImageCaption">
    <w:name w:val="Image Caption"/>
    <w:basedOn w:val="Caption"/>
  </w:style>
  <w:style w:type="paragraph" w:customStyle="1" w:styleId="Figure">
    <w:name w:val="Figure"/>
    <w:basedOn w:val="Normal"/>
  </w:style>
  <w:style w:type="paragraph" w:customStyle="1" w:styleId="CaptionedFigure">
    <w:name w:val="Captioned Figure"/>
    <w:basedOn w:val="Figure"/>
    <w:pPr>
      <w:keepNext/>
    </w:pPr>
  </w:style>
  <w:style w:type="character" w:customStyle="1" w:styleId="CaptionChar">
    <w:name w:val="Caption Char"/>
    <w:basedOn w:val="DefaultParagraphFont"/>
    <w:link w:val="Caption"/>
  </w:style>
  <w:style w:type="character" w:customStyle="1" w:styleId="VerbatimChar">
    <w:name w:val="Verbatim Char"/>
    <w:basedOn w:val="CaptionChar"/>
    <w:link w:val="SourceCode"/>
    <w:rPr>
      <w:rFonts w:ascii="Consolas" w:hAnsi="Consolas"/>
      <w:sz w:val="22"/>
    </w:rPr>
  </w:style>
  <w:style w:type="character" w:customStyle="1" w:styleId="SectionNumber">
    <w:name w:val="Section Number"/>
    <w:basedOn w:val="CaptionChar"/>
  </w:style>
  <w:style w:type="character" w:styleId="FootnoteReference">
    <w:name w:val="footnote reference"/>
    <w:basedOn w:val="CaptionChar"/>
    <w:rPr>
      <w:vertAlign w:val="superscript"/>
    </w:rPr>
  </w:style>
  <w:style w:type="character" w:styleId="Hyperlink">
    <w:name w:val="Hyperlink"/>
    <w:basedOn w:val="CaptionChar"/>
    <w:rPr>
      <w:color w:val="156082" w:themeColor="accent1"/>
    </w:rPr>
  </w:style>
  <w:style w:type="paragraph" w:styleId="TOCHeading">
    <w:name w:val="TOC Heading"/>
    <w:basedOn w:val="Heading1"/>
    <w:next w:val="BodyText"/>
    <w:uiPriority w:val="39"/>
    <w:unhideWhenUsed/>
    <w:qFormat/>
    <w:pPr>
      <w:spacing w:before="240" w:line="259" w:lineRule="auto"/>
      <w:outlineLvl w:val="9"/>
    </w:pPr>
  </w:style>
  <w:style w:type="paragraph" w:customStyle="1" w:styleId="SourceCode">
    <w:name w:val="Source Code"/>
    <w:basedOn w:val="Normal"/>
    <w:link w:val="VerbatimChar"/>
    <w:pPr>
      <w:wordWrap w:val="0"/>
    </w:pPr>
  </w:style>
  <w:style w:type="character" w:customStyle="1" w:styleId="KeywordTok">
    <w:name w:val="KeywordTok"/>
    <w:basedOn w:val="VerbatimChar"/>
    <w:rPr>
      <w:rFonts w:ascii="Consolas" w:hAnsi="Consolas"/>
      <w:b/>
      <w:color w:val="007020"/>
      <w:sz w:val="22"/>
    </w:rPr>
  </w:style>
  <w:style w:type="character" w:customStyle="1" w:styleId="DataTypeTok">
    <w:name w:val="DataTypeTok"/>
    <w:basedOn w:val="VerbatimChar"/>
    <w:rPr>
      <w:rFonts w:ascii="Consolas" w:hAnsi="Consolas"/>
      <w:color w:val="902000"/>
      <w:sz w:val="22"/>
    </w:rPr>
  </w:style>
  <w:style w:type="character" w:customStyle="1" w:styleId="DecValTok">
    <w:name w:val="DecValTok"/>
    <w:basedOn w:val="VerbatimChar"/>
    <w:rPr>
      <w:rFonts w:ascii="Consolas" w:hAnsi="Consolas"/>
      <w:color w:val="40A070"/>
      <w:sz w:val="22"/>
    </w:rPr>
  </w:style>
  <w:style w:type="character" w:customStyle="1" w:styleId="BaseNTok">
    <w:name w:val="BaseNTok"/>
    <w:basedOn w:val="VerbatimChar"/>
    <w:rPr>
      <w:rFonts w:ascii="Consolas" w:hAnsi="Consolas"/>
      <w:color w:val="40A070"/>
      <w:sz w:val="22"/>
    </w:rPr>
  </w:style>
  <w:style w:type="character" w:customStyle="1" w:styleId="FloatTok">
    <w:name w:val="FloatTok"/>
    <w:basedOn w:val="VerbatimChar"/>
    <w:rPr>
      <w:rFonts w:ascii="Consolas" w:hAnsi="Consolas"/>
      <w:color w:val="40A070"/>
      <w:sz w:val="22"/>
    </w:rPr>
  </w:style>
  <w:style w:type="character" w:customStyle="1" w:styleId="ConstantTok">
    <w:name w:val="ConstantTok"/>
    <w:basedOn w:val="VerbatimChar"/>
    <w:rPr>
      <w:rFonts w:ascii="Consolas" w:hAnsi="Consolas"/>
      <w:color w:val="880000"/>
      <w:sz w:val="22"/>
    </w:rPr>
  </w:style>
  <w:style w:type="character" w:customStyle="1" w:styleId="CharTok">
    <w:name w:val="CharTok"/>
    <w:basedOn w:val="VerbatimChar"/>
    <w:rPr>
      <w:rFonts w:ascii="Consolas" w:hAnsi="Consolas"/>
      <w:color w:val="4070A0"/>
      <w:sz w:val="22"/>
    </w:rPr>
  </w:style>
  <w:style w:type="character" w:customStyle="1" w:styleId="SpecialCharTok">
    <w:name w:val="SpecialCharTok"/>
    <w:basedOn w:val="VerbatimChar"/>
    <w:rPr>
      <w:rFonts w:ascii="Consolas" w:hAnsi="Consolas"/>
      <w:color w:val="4070A0"/>
      <w:sz w:val="22"/>
    </w:rPr>
  </w:style>
  <w:style w:type="character" w:customStyle="1" w:styleId="StringTok">
    <w:name w:val="StringTok"/>
    <w:basedOn w:val="VerbatimChar"/>
    <w:rPr>
      <w:rFonts w:ascii="Consolas" w:hAnsi="Consolas"/>
      <w:color w:val="4070A0"/>
      <w:sz w:val="22"/>
    </w:rPr>
  </w:style>
  <w:style w:type="character" w:customStyle="1" w:styleId="VerbatimStringTok">
    <w:name w:val="VerbatimStringTok"/>
    <w:basedOn w:val="VerbatimChar"/>
    <w:rPr>
      <w:rFonts w:ascii="Consolas" w:hAnsi="Consolas"/>
      <w:color w:val="4070A0"/>
      <w:sz w:val="22"/>
    </w:rPr>
  </w:style>
  <w:style w:type="character" w:customStyle="1" w:styleId="SpecialStringTok">
    <w:name w:val="SpecialStringTok"/>
    <w:basedOn w:val="VerbatimChar"/>
    <w:rPr>
      <w:rFonts w:ascii="Consolas" w:hAnsi="Consolas"/>
      <w:color w:val="BB6688"/>
      <w:sz w:val="22"/>
    </w:rPr>
  </w:style>
  <w:style w:type="character" w:customStyle="1" w:styleId="ImportTok">
    <w:name w:val="ImportTok"/>
    <w:basedOn w:val="VerbatimChar"/>
    <w:rPr>
      <w:rFonts w:ascii="Consolas" w:hAnsi="Consolas"/>
      <w:b/>
      <w:color w:val="008000"/>
      <w:sz w:val="22"/>
    </w:rPr>
  </w:style>
  <w:style w:type="character" w:customStyle="1" w:styleId="CommentTok">
    <w:name w:val="CommentTok"/>
    <w:basedOn w:val="VerbatimChar"/>
    <w:rPr>
      <w:rFonts w:ascii="Consolas" w:hAnsi="Consolas"/>
      <w:i/>
      <w:color w:val="60A0B0"/>
      <w:sz w:val="22"/>
    </w:rPr>
  </w:style>
  <w:style w:type="character" w:customStyle="1" w:styleId="DocumentationTok">
    <w:name w:val="DocumentationTok"/>
    <w:basedOn w:val="VerbatimChar"/>
    <w:rPr>
      <w:rFonts w:ascii="Consolas" w:hAnsi="Consolas"/>
      <w:i/>
      <w:color w:val="BA2121"/>
      <w:sz w:val="22"/>
    </w:rPr>
  </w:style>
  <w:style w:type="character" w:customStyle="1" w:styleId="AnnotationTok">
    <w:name w:val="AnnotationTok"/>
    <w:basedOn w:val="VerbatimChar"/>
    <w:rPr>
      <w:rFonts w:ascii="Consolas" w:hAnsi="Consolas"/>
      <w:b/>
      <w:i/>
      <w:color w:val="60A0B0"/>
      <w:sz w:val="22"/>
    </w:rPr>
  </w:style>
  <w:style w:type="character" w:customStyle="1" w:styleId="CommentVarTok">
    <w:name w:val="CommentVarTok"/>
    <w:basedOn w:val="VerbatimChar"/>
    <w:rPr>
      <w:rFonts w:ascii="Consolas" w:hAnsi="Consolas"/>
      <w:b/>
      <w:i/>
      <w:color w:val="60A0B0"/>
      <w:sz w:val="22"/>
    </w:rPr>
  </w:style>
  <w:style w:type="character" w:customStyle="1" w:styleId="OtherTok">
    <w:name w:val="OtherTok"/>
    <w:basedOn w:val="VerbatimChar"/>
    <w:rPr>
      <w:rFonts w:ascii="Consolas" w:hAnsi="Consolas"/>
      <w:color w:val="007020"/>
      <w:sz w:val="22"/>
    </w:rPr>
  </w:style>
  <w:style w:type="character" w:customStyle="1" w:styleId="FunctionTok">
    <w:name w:val="FunctionTok"/>
    <w:basedOn w:val="VerbatimChar"/>
    <w:rPr>
      <w:rFonts w:ascii="Consolas" w:hAnsi="Consolas"/>
      <w:color w:val="06287E"/>
      <w:sz w:val="22"/>
    </w:rPr>
  </w:style>
  <w:style w:type="character" w:customStyle="1" w:styleId="VariableTok">
    <w:name w:val="VariableTok"/>
    <w:basedOn w:val="VerbatimChar"/>
    <w:rPr>
      <w:rFonts w:ascii="Consolas" w:hAnsi="Consolas"/>
      <w:color w:val="19177C"/>
      <w:sz w:val="22"/>
    </w:rPr>
  </w:style>
  <w:style w:type="character" w:customStyle="1" w:styleId="ControlFlowTok">
    <w:name w:val="ControlFlowTok"/>
    <w:basedOn w:val="VerbatimChar"/>
    <w:rPr>
      <w:rFonts w:ascii="Consolas" w:hAnsi="Consolas"/>
      <w:b/>
      <w:color w:val="007020"/>
      <w:sz w:val="22"/>
    </w:rPr>
  </w:style>
  <w:style w:type="character" w:customStyle="1" w:styleId="OperatorTok">
    <w:name w:val="OperatorTok"/>
    <w:basedOn w:val="VerbatimChar"/>
    <w:rPr>
      <w:rFonts w:ascii="Consolas" w:hAnsi="Consolas"/>
      <w:color w:val="666666"/>
      <w:sz w:val="22"/>
    </w:rPr>
  </w:style>
  <w:style w:type="character" w:customStyle="1" w:styleId="BuiltInTok">
    <w:name w:val="BuiltInTok"/>
    <w:basedOn w:val="VerbatimChar"/>
    <w:rPr>
      <w:rFonts w:ascii="Consolas" w:hAnsi="Consolas"/>
      <w:color w:val="008000"/>
      <w:sz w:val="22"/>
    </w:rPr>
  </w:style>
  <w:style w:type="character" w:customStyle="1" w:styleId="ExtensionTok">
    <w:name w:val="ExtensionTok"/>
    <w:basedOn w:val="VerbatimChar"/>
    <w:rPr>
      <w:rFonts w:ascii="Consolas" w:hAnsi="Consolas"/>
      <w:sz w:val="22"/>
    </w:rPr>
  </w:style>
  <w:style w:type="character" w:customStyle="1" w:styleId="PreprocessorTok">
    <w:name w:val="PreprocessorTok"/>
    <w:basedOn w:val="VerbatimChar"/>
    <w:rPr>
      <w:rFonts w:ascii="Consolas" w:hAnsi="Consolas"/>
      <w:color w:val="BC7A00"/>
      <w:sz w:val="22"/>
    </w:rPr>
  </w:style>
  <w:style w:type="character" w:customStyle="1" w:styleId="AttributeTok">
    <w:name w:val="AttributeTok"/>
    <w:basedOn w:val="VerbatimChar"/>
    <w:rPr>
      <w:rFonts w:ascii="Consolas" w:hAnsi="Consolas"/>
      <w:color w:val="7D9029"/>
      <w:sz w:val="22"/>
    </w:rPr>
  </w:style>
  <w:style w:type="character" w:customStyle="1" w:styleId="RegionMarkerTok">
    <w:name w:val="RegionMarkerTok"/>
    <w:basedOn w:val="VerbatimChar"/>
    <w:rPr>
      <w:rFonts w:ascii="Consolas" w:hAnsi="Consolas"/>
      <w:sz w:val="22"/>
    </w:rPr>
  </w:style>
  <w:style w:type="character" w:customStyle="1" w:styleId="InformationTok">
    <w:name w:val="InformationTok"/>
    <w:basedOn w:val="VerbatimChar"/>
    <w:rPr>
      <w:rFonts w:ascii="Consolas" w:hAnsi="Consolas"/>
      <w:b/>
      <w:i/>
      <w:color w:val="60A0B0"/>
      <w:sz w:val="22"/>
    </w:rPr>
  </w:style>
  <w:style w:type="character" w:customStyle="1" w:styleId="WarningTok">
    <w:name w:val="WarningTok"/>
    <w:basedOn w:val="VerbatimChar"/>
    <w:rPr>
      <w:rFonts w:ascii="Consolas" w:hAnsi="Consolas"/>
      <w:b/>
      <w:i/>
      <w:color w:val="60A0B0"/>
      <w:sz w:val="22"/>
    </w:rPr>
  </w:style>
  <w:style w:type="character" w:customStyle="1" w:styleId="AlertTok">
    <w:name w:val="AlertTok"/>
    <w:basedOn w:val="VerbatimChar"/>
    <w:rPr>
      <w:rFonts w:ascii="Consolas" w:hAnsi="Consolas"/>
      <w:b/>
      <w:color w:val="FF0000"/>
      <w:sz w:val="22"/>
    </w:rPr>
  </w:style>
  <w:style w:type="character" w:customStyle="1" w:styleId="ErrorTok">
    <w:name w:val="ErrorTok"/>
    <w:basedOn w:val="VerbatimChar"/>
    <w:rPr>
      <w:rFonts w:ascii="Consolas" w:hAnsi="Consolas"/>
      <w:b/>
      <w:color w:val="FF0000"/>
      <w:sz w:val="22"/>
    </w:rPr>
  </w:style>
  <w:style w:type="character" w:customStyle="1" w:styleId="NormalTok">
    <w:name w:val="NormalTok"/>
    <w:basedOn w:val="VerbatimChar"/>
    <w:rPr>
      <w:rFonts w:ascii="Consolas" w:hAnsi="Consolas"/>
      <w:sz w:val="22"/>
    </w:rPr>
  </w:style>
  <w:style w:type="paragraph" w:styleId="Header">
    <w:name w:val="header"/>
    <w:basedOn w:val="Normal"/>
    <w:link w:val="HeaderChar"/>
    <w:rsid w:val="00251355"/>
    <w:pPr>
      <w:tabs>
        <w:tab w:val="center" w:pos="4680"/>
        <w:tab w:val="right" w:pos="9360"/>
      </w:tabs>
      <w:spacing w:after="0"/>
    </w:pPr>
  </w:style>
  <w:style w:type="character" w:customStyle="1" w:styleId="HeaderChar">
    <w:name w:val="Header Char"/>
    <w:basedOn w:val="DefaultParagraphFont"/>
    <w:link w:val="Header"/>
    <w:rsid w:val="00251355"/>
  </w:style>
  <w:style w:type="paragraph" w:styleId="Footer">
    <w:name w:val="footer"/>
    <w:basedOn w:val="Normal"/>
    <w:link w:val="FooterChar"/>
    <w:uiPriority w:val="99"/>
    <w:rsid w:val="00251355"/>
    <w:pPr>
      <w:tabs>
        <w:tab w:val="center" w:pos="4680"/>
        <w:tab w:val="right" w:pos="9360"/>
      </w:tabs>
      <w:spacing w:after="0"/>
    </w:pPr>
  </w:style>
  <w:style w:type="character" w:customStyle="1" w:styleId="FooterChar">
    <w:name w:val="Footer Char"/>
    <w:basedOn w:val="DefaultParagraphFont"/>
    <w:link w:val="Footer"/>
    <w:uiPriority w:val="99"/>
    <w:rsid w:val="00251355"/>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26" Type="http://schemas.openxmlformats.org/officeDocument/2006/relationships/hyperlink" Target="https://www.hud.gov/sites/documents/17-01cpdn.pdf" TargetMode="External"/><Relationship Id="rId21" Type="http://schemas.openxmlformats.org/officeDocument/2006/relationships/hyperlink" Target="https://journals.sagepub.com/doi/10.1177/15305627261417926?utm_source=chatgpt.com" TargetMode="External"/><Relationship Id="rId42" Type="http://schemas.openxmlformats.org/officeDocument/2006/relationships/hyperlink" Target="https://pmc.ncbi.nlm.nih.gov/articles/PMC8887175/?utm_source=chatgpt.com" TargetMode="External"/><Relationship Id="rId47" Type="http://schemas.openxmlformats.org/officeDocument/2006/relationships/hyperlink" Target="https://www.hud.gov/sites/documents/17-01cpdn.pdf" TargetMode="External"/><Relationship Id="rId63" Type="http://schemas.openxmlformats.org/officeDocument/2006/relationships/hyperlink" Target="https://www.coloradocoalition.org/sites/default/files/2025-12/2025%20Death%20Review_Final.pdf" TargetMode="External"/><Relationship Id="rId68" Type="http://schemas.openxmlformats.org/officeDocument/2006/relationships/hyperlink" Target="https://pmc.ncbi.nlm.nih.gov/articles/PMC8863642/?utm_source=chatgpt.com" TargetMode="External"/><Relationship Id="rId84" Type="http://schemas.openxmlformats.org/officeDocument/2006/relationships/hyperlink" Target="https://journals.sagepub.com/doi/10.1177/15305627261417926?utm_source=chatgpt.com" TargetMode="External"/><Relationship Id="rId89" Type="http://schemas.openxmlformats.org/officeDocument/2006/relationships/hyperlink" Target="https://www.hud.gov/sites/documents/17-01cpdn.pdf" TargetMode="External"/><Relationship Id="rId16" Type="http://schemas.openxmlformats.org/officeDocument/2006/relationships/hyperlink" Target="https://www.chcs.org/resource/medical-respite-care/?utm_source=chatgpt.com" TargetMode="External"/><Relationship Id="rId107" Type="http://schemas.openxmlformats.org/officeDocument/2006/relationships/hyperlink" Target="https://nimrc.org/wp-content/uploads/2021/08/NIMRC_Medical-Respite-Literature-Review.pdf?utm_source=chatgpt.com" TargetMode="External"/><Relationship Id="rId11" Type="http://schemas.openxmlformats.org/officeDocument/2006/relationships/hyperlink" Target="https://www.coloradocoalition.org/sites/default/files/2025-12/2025%20Death%20Review_Final.pdf" TargetMode="External"/><Relationship Id="rId32" Type="http://schemas.openxmlformats.org/officeDocument/2006/relationships/hyperlink" Target="https://www.211colorado.org/?utm_source=chatgpt.com" TargetMode="External"/><Relationship Id="rId37" Type="http://schemas.openxmlformats.org/officeDocument/2006/relationships/hyperlink" Target="https://nvlpubs.nist.gov/nistpubs/ai/nist.ai.100-1.pdf" TargetMode="External"/><Relationship Id="rId53" Type="http://schemas.openxmlformats.org/officeDocument/2006/relationships/hyperlink" Target="https://pmc.ncbi.nlm.nih.gov/articles/PMC10546518/?utm_source=chatgpt.com" TargetMode="External"/><Relationship Id="rId58" Type="http://schemas.openxmlformats.org/officeDocument/2006/relationships/hyperlink" Target="https://pmc.ncbi.nlm.nih.gov/articles/PMC8887175/?utm_source=chatgpt.com" TargetMode="External"/><Relationship Id="rId74" Type="http://schemas.openxmlformats.org/officeDocument/2006/relationships/hyperlink" Target="https://www.chcs.org/resource/medical-respite-care/?utm_source=chatgpt.com" TargetMode="External"/><Relationship Id="rId79" Type="http://schemas.openxmlformats.org/officeDocument/2006/relationships/hyperlink" Target="https://www.abtglobal.com/files/insights/reports/2024/abt-global_prk-eval_final-report_5.4.24.pdf" TargetMode="External"/><Relationship Id="rId102" Type="http://schemas.openxmlformats.org/officeDocument/2006/relationships/hyperlink" Target="https://nvlpubs.nist.gov/nistpubs/ai/nist.ai.100-1.pdf" TargetMode="External"/><Relationship Id="rId5" Type="http://schemas.openxmlformats.org/officeDocument/2006/relationships/footnotes" Target="footnotes.xml"/><Relationship Id="rId90" Type="http://schemas.openxmlformats.org/officeDocument/2006/relationships/hyperlink" Target="https://www.hud.gov/sites/documents/17-01cpdn.pdf" TargetMode="External"/><Relationship Id="rId95" Type="http://schemas.openxmlformats.org/officeDocument/2006/relationships/hyperlink" Target="https://www.unitedway.org/our-impact/community-resiliency/211-connecting-people-to-local-resources?utm_source=chatgpt.com" TargetMode="External"/><Relationship Id="rId22" Type="http://schemas.openxmlformats.org/officeDocument/2006/relationships/hyperlink" Target="https://www.cbpp.org/research/housing/policymakers-can-solve-homelessness-by-scaling-up-proven-solutions-rental?utm_source=chatgpt.com" TargetMode="External"/><Relationship Id="rId27" Type="http://schemas.openxmlformats.org/officeDocument/2006/relationships/hyperlink" Target="https://pmc.ncbi.nlm.nih.gov/articles/PMC8887175/?utm_source=chatgpt.com" TargetMode="External"/><Relationship Id="rId43" Type="http://schemas.openxmlformats.org/officeDocument/2006/relationships/hyperlink" Target="https://pmc.ncbi.nlm.nih.gov/articles/PMC10546518/?utm_source=chatgpt.com" TargetMode="External"/><Relationship Id="rId48" Type="http://schemas.openxmlformats.org/officeDocument/2006/relationships/hyperlink" Target="https://pmc.ncbi.nlm.nih.gov/articles/PMC8887175/?utm_source=chatgpt.com" TargetMode="External"/><Relationship Id="rId64" Type="http://schemas.openxmlformats.org/officeDocument/2006/relationships/hyperlink" Target="https://www.coloradocoalition.org/sites/default/files/2025-12/2025%20Death%20Review_Final.pdf" TargetMode="External"/><Relationship Id="rId69" Type="http://schemas.openxmlformats.org/officeDocument/2006/relationships/hyperlink" Target="https://jamanetwork.com/journals/jamanetworkopen/fullarticle/2837050?utm_source=chatgpt.com" TargetMode="External"/><Relationship Id="rId80" Type="http://schemas.openxmlformats.org/officeDocument/2006/relationships/hyperlink" Target="https://www.abtglobal.com/files/insights/reports/2024/abt-global_prk-eval_final-report_5.4.24.pdf" TargetMode="External"/><Relationship Id="rId85" Type="http://schemas.openxmlformats.org/officeDocument/2006/relationships/hyperlink" Target="https://journals.sagepub.com/doi/10.1177/15305627261417926?utm_source=chatgpt.com" TargetMode="External"/><Relationship Id="rId12" Type="http://schemas.openxmlformats.org/officeDocument/2006/relationships/hyperlink" Target="https://pmc.ncbi.nlm.nih.gov/articles/PMC8513528/?utm_source=chatgpt.com" TargetMode="External"/><Relationship Id="rId17" Type="http://schemas.openxmlformats.org/officeDocument/2006/relationships/hyperlink" Target="https://www.abtglobal.com/files/insights/reports/2024/abt-global_prk-eval_final-report_5.4.24.pdf" TargetMode="External"/><Relationship Id="rId33" Type="http://schemas.openxmlformats.org/officeDocument/2006/relationships/hyperlink" Target="https://ai.google.dev/gemma/docs/capabilities/text/function-calling-gemma4?utm_source=chatgpt.com" TargetMode="External"/><Relationship Id="rId38" Type="http://schemas.openxmlformats.org/officeDocument/2006/relationships/hyperlink" Target="https://www.hhs.gov/hipaa/for-professionals/privacy/guidance/minimum-necessary-requirement/index.html?utm_source=chatgpt.com" TargetMode="External"/><Relationship Id="rId59" Type="http://schemas.openxmlformats.org/officeDocument/2006/relationships/hyperlink" Target="https://pmc.ncbi.nlm.nih.gov/articles/PMC8887175/?utm_source=chatgpt.com" TargetMode="External"/><Relationship Id="rId103" Type="http://schemas.openxmlformats.org/officeDocument/2006/relationships/hyperlink" Target="https://nvlpubs.nist.gov/nistpubs/ai/nist.ai.100-1.pdf" TargetMode="External"/><Relationship Id="rId108" Type="http://schemas.openxmlformats.org/officeDocument/2006/relationships/header" Target="header1.xml"/><Relationship Id="rId54" Type="http://schemas.openxmlformats.org/officeDocument/2006/relationships/hyperlink" Target="https://pmc.ncbi.nlm.nih.gov/articles/PMC8887175/?utm_source=chatgpt.com" TargetMode="External"/><Relationship Id="rId70" Type="http://schemas.openxmlformats.org/officeDocument/2006/relationships/hyperlink" Target="https://jamanetwork.com/journals/jamanetworkopen/fullarticle/2837050?utm_source=chatgpt.com" TargetMode="External"/><Relationship Id="rId75" Type="http://schemas.openxmlformats.org/officeDocument/2006/relationships/hyperlink" Target="https://www.chcs.org/resource/medical-respite-care/?utm_source=chatgpt.com" TargetMode="External"/><Relationship Id="rId91" Type="http://schemas.openxmlformats.org/officeDocument/2006/relationships/hyperlink" Target="https://files.hudexchange.info/resources/documents/HMIS-Data-Standards-Manual-2024.pdf?utm_source=chatgpt.com" TargetMode="External"/><Relationship Id="rId96" Type="http://schemas.openxmlformats.org/officeDocument/2006/relationships/hyperlink" Target="https://www.211colorado.org/?utm_source=chatgpt.com" TargetMode="External"/><Relationship Id="rId1" Type="http://schemas.openxmlformats.org/officeDocument/2006/relationships/numbering" Target="numbering.xml"/><Relationship Id="rId6" Type="http://schemas.openxmlformats.org/officeDocument/2006/relationships/endnotes" Target="endnotes.xml"/><Relationship Id="rId15" Type="http://schemas.openxmlformats.org/officeDocument/2006/relationships/hyperlink" Target="https://pmc.ncbi.nlm.nih.gov/articles/PMC2702998/?utm_source=chatgpt.com" TargetMode="External"/><Relationship Id="rId23" Type="http://schemas.openxmlformats.org/officeDocument/2006/relationships/hyperlink" Target="https://pmc.ncbi.nlm.nih.gov/articles/PMC11497411/?utm_source=chatgpt.com" TargetMode="External"/><Relationship Id="rId28" Type="http://schemas.openxmlformats.org/officeDocument/2006/relationships/hyperlink" Target="https://www.hud.gov/sites/documents/17-01cpdn.pdf" TargetMode="External"/><Relationship Id="rId36" Type="http://schemas.openxmlformats.org/officeDocument/2006/relationships/hyperlink" Target="https://pmc.ncbi.nlm.nih.gov/articles/PMC8887175/?utm_source=chatgpt.com" TargetMode="External"/><Relationship Id="rId49" Type="http://schemas.openxmlformats.org/officeDocument/2006/relationships/hyperlink" Target="https://journals.sagepub.com/doi/10.1177/15305627261417926?utm_source=chatgpt.com" TargetMode="External"/><Relationship Id="rId57" Type="http://schemas.openxmlformats.org/officeDocument/2006/relationships/hyperlink" Target="https://pmc.ncbi.nlm.nih.gov/articles/PMC8887175/?utm_source=chatgpt.com" TargetMode="External"/><Relationship Id="rId106" Type="http://schemas.openxmlformats.org/officeDocument/2006/relationships/hyperlink" Target="https://nimrc.org/wp-content/uploads/2021/08/NIMRC_Medical-Respite-Literature-Review.pdf?utm_source=chatgpt.com" TargetMode="External"/><Relationship Id="rId10" Type="http://schemas.openxmlformats.org/officeDocument/2006/relationships/hyperlink" Target="https://www.coloradocoalition.org/sites/default/files/2024-12/2024%20Death%20Review_F%20%281%29.pdf" TargetMode="External"/><Relationship Id="rId31" Type="http://schemas.openxmlformats.org/officeDocument/2006/relationships/hyperlink" Target="https://www.chcs.org/resource/medical-respite-care/?utm_source=chatgpt.com" TargetMode="External"/><Relationship Id="rId44" Type="http://schemas.openxmlformats.org/officeDocument/2006/relationships/hyperlink" Target="https://www.hud.gov/sites/documents/17-01cpdn.pdf" TargetMode="External"/><Relationship Id="rId52" Type="http://schemas.openxmlformats.org/officeDocument/2006/relationships/hyperlink" Target="https://pmc.ncbi.nlm.nih.gov/articles/PMC10546518/?utm_source=chatgpt.com" TargetMode="External"/><Relationship Id="rId60" Type="http://schemas.openxmlformats.org/officeDocument/2006/relationships/hyperlink" Target="https://pmc.ncbi.nlm.nih.gov/articles/PMC8887175/?utm_source=chatgpt.com" TargetMode="External"/><Relationship Id="rId65" Type="http://schemas.openxmlformats.org/officeDocument/2006/relationships/hyperlink" Target="https://pmc.ncbi.nlm.nih.gov/articles/PMC8513528/?utm_source=chatgpt.com" TargetMode="External"/><Relationship Id="rId73" Type="http://schemas.openxmlformats.org/officeDocument/2006/relationships/hyperlink" Target="https://pmc.ncbi.nlm.nih.gov/articles/PMC2702998/?utm_source=chatgpt.com" TargetMode="External"/><Relationship Id="rId78" Type="http://schemas.openxmlformats.org/officeDocument/2006/relationships/hyperlink" Target="https://www.abtglobal.com/files/insights/reports/2024/abt-global_prk-eval_final-report_5.4.24.pdf" TargetMode="External"/><Relationship Id="rId81" Type="http://schemas.openxmlformats.org/officeDocument/2006/relationships/hyperlink" Target="https://www.cbpp.org/research/housing/policymakers-can-solve-homelessness-by-scaling-up-proven-solutions-rental?utm_source=chatgpt.com" TargetMode="External"/><Relationship Id="rId86" Type="http://schemas.openxmlformats.org/officeDocument/2006/relationships/hyperlink" Target="https://pmc.ncbi.nlm.nih.gov/articles/PMC11497411/?utm_source=chatgpt.com" TargetMode="External"/><Relationship Id="rId94" Type="http://schemas.openxmlformats.org/officeDocument/2006/relationships/hyperlink" Target="https://www.unitedway.org/our-impact/community-resiliency/211-connecting-people-to-local-resources?utm_source=chatgpt.com" TargetMode="External"/><Relationship Id="rId99" Type="http://schemas.openxmlformats.org/officeDocument/2006/relationships/hyperlink" Target="https://ai.google.dev/gemma/docs/capabilities/text/function-calling-gemma4?utm_source=chatgpt.com" TargetMode="External"/><Relationship Id="rId101" Type="http://schemas.openxmlformats.org/officeDocument/2006/relationships/hyperlink" Target="https://github.com/google-ai-edge/LiteRT-LM?utm_source=chatgpt.com" TargetMode="External"/><Relationship Id="rId4" Type="http://schemas.openxmlformats.org/officeDocument/2006/relationships/webSettings" Target="webSettings.xml"/><Relationship Id="rId9" Type="http://schemas.openxmlformats.org/officeDocument/2006/relationships/hyperlink" Target="https://pmc.ncbi.nlm.nih.gov/articles/PMC8887175/?utm_source=chatgpt.com" TargetMode="External"/><Relationship Id="rId13" Type="http://schemas.openxmlformats.org/officeDocument/2006/relationships/hyperlink" Target="https://pmc.ncbi.nlm.nih.gov/articles/PMC8863642/?utm_source=chatgpt.com" TargetMode="External"/><Relationship Id="rId18" Type="http://schemas.openxmlformats.org/officeDocument/2006/relationships/hyperlink" Target="https://www.cbpp.org/research/housing/policymakers-can-solve-homelessness-by-scaling-up-proven-solutions-rental?utm_source=chatgpt.com" TargetMode="External"/><Relationship Id="rId39" Type="http://schemas.openxmlformats.org/officeDocument/2006/relationships/hyperlink" Target="https://pmc.ncbi.nlm.nih.gov/articles/PMC8887175/?utm_source=chatgpt.com" TargetMode="External"/><Relationship Id="rId109" Type="http://schemas.openxmlformats.org/officeDocument/2006/relationships/footer" Target="footer1.xml"/><Relationship Id="rId34" Type="http://schemas.openxmlformats.org/officeDocument/2006/relationships/hyperlink" Target="https://github.com/google-ai-edge/LiteRT-LM?utm_source=chatgpt.com" TargetMode="External"/><Relationship Id="rId50" Type="http://schemas.openxmlformats.org/officeDocument/2006/relationships/hyperlink" Target="https://www.nber.org/digest/202402/estimating-mortality-rates-us-homeless-population?utm_source=chatgpt.com" TargetMode="External"/><Relationship Id="rId55" Type="http://schemas.openxmlformats.org/officeDocument/2006/relationships/hyperlink" Target="https://pmc.ncbi.nlm.nih.gov/articles/PMC8887175/?utm_source=chatgpt.com" TargetMode="External"/><Relationship Id="rId76" Type="http://schemas.openxmlformats.org/officeDocument/2006/relationships/hyperlink" Target="https://www.chcs.org/resource/medical-respite-care/?utm_source=chatgpt.com" TargetMode="External"/><Relationship Id="rId97" Type="http://schemas.openxmlformats.org/officeDocument/2006/relationships/hyperlink" Target="https://www.211colorado.org/?utm_source=chatgpt.com" TargetMode="External"/><Relationship Id="rId104" Type="http://schemas.openxmlformats.org/officeDocument/2006/relationships/hyperlink" Target="https://www.hhs.gov/hipaa/for-professionals/privacy/guidance/minimum-necessary-requirement/index.html?utm_source=chatgpt.com" TargetMode="External"/><Relationship Id="rId7" Type="http://schemas.openxmlformats.org/officeDocument/2006/relationships/hyperlink" Target="https://www.nber.org/digest/202402/estimating-mortality-rates-us-homeless-population?utm_source=chatgpt.com" TargetMode="External"/><Relationship Id="rId71" Type="http://schemas.openxmlformats.org/officeDocument/2006/relationships/hyperlink" Target="https://pmc.ncbi.nlm.nih.gov/articles/PMC2702998/?utm_source=chatgpt.com" TargetMode="External"/><Relationship Id="rId92" Type="http://schemas.openxmlformats.org/officeDocument/2006/relationships/hyperlink" Target="https://files.hudexchange.info/resources/documents/HMIS-Data-Standards-Manual-2024.pdf?utm_source=chatgpt.com" TargetMode="External"/><Relationship Id="rId2" Type="http://schemas.openxmlformats.org/officeDocument/2006/relationships/styles" Target="styles.xml"/><Relationship Id="rId29" Type="http://schemas.openxmlformats.org/officeDocument/2006/relationships/hyperlink" Target="https://files.hudexchange.info/resources/documents/HMIS-Data-Standards-Manual-2024.pdf?utm_source=chatgpt.com" TargetMode="External"/><Relationship Id="rId24" Type="http://schemas.openxmlformats.org/officeDocument/2006/relationships/hyperlink" Target="https://pmc.ncbi.nlm.nih.gov/articles/PMC2702998/?utm_source=chatgpt.com" TargetMode="External"/><Relationship Id="rId40" Type="http://schemas.openxmlformats.org/officeDocument/2006/relationships/hyperlink" Target="https://www.chcs.org/resource/medical-respite-care/?utm_source=chatgpt.com" TargetMode="External"/><Relationship Id="rId45" Type="http://schemas.openxmlformats.org/officeDocument/2006/relationships/hyperlink" Target="https://www.unitedway.org/our-impact/community-resiliency/211-connecting-people-to-local-resources?utm_source=chatgpt.com" TargetMode="External"/><Relationship Id="rId66" Type="http://schemas.openxmlformats.org/officeDocument/2006/relationships/hyperlink" Target="https://pmc.ncbi.nlm.nih.gov/articles/PMC8513528/?utm_source=chatgpt.com" TargetMode="External"/><Relationship Id="rId87" Type="http://schemas.openxmlformats.org/officeDocument/2006/relationships/hyperlink" Target="https://pmc.ncbi.nlm.nih.gov/articles/PMC11497411/?utm_source=chatgpt.com" TargetMode="External"/><Relationship Id="rId110" Type="http://schemas.openxmlformats.org/officeDocument/2006/relationships/fontTable" Target="fontTable.xml"/><Relationship Id="rId61" Type="http://schemas.openxmlformats.org/officeDocument/2006/relationships/hyperlink" Target="https://www.coloradocoalition.org/sites/default/files/2024-12/2024%20Death%20Review_F%20%281%29.pdf" TargetMode="External"/><Relationship Id="rId82" Type="http://schemas.openxmlformats.org/officeDocument/2006/relationships/hyperlink" Target="https://www.cbpp.org/research/housing/policymakers-can-solve-homelessness-by-scaling-up-proven-solutions-rental?utm_source=chatgpt.com" TargetMode="External"/><Relationship Id="rId19" Type="http://schemas.openxmlformats.org/officeDocument/2006/relationships/hyperlink" Target="https://pmc.ncbi.nlm.nih.gov/articles/PMC2702998/?utm_source=chatgpt.com" TargetMode="External"/><Relationship Id="rId14" Type="http://schemas.openxmlformats.org/officeDocument/2006/relationships/hyperlink" Target="https://jamanetwork.com/journals/jamanetworkopen/fullarticle/2837050?utm_source=chatgpt.com" TargetMode="External"/><Relationship Id="rId30" Type="http://schemas.openxmlformats.org/officeDocument/2006/relationships/hyperlink" Target="https://www.unitedway.org/our-impact/community-resiliency/211-connecting-people-to-local-resources?utm_source=chatgpt.com" TargetMode="External"/><Relationship Id="rId35" Type="http://schemas.openxmlformats.org/officeDocument/2006/relationships/hyperlink" Target="https://pmc.ncbi.nlm.nih.gov/articles/PMC8887175/?utm_source=chatgpt.com" TargetMode="External"/><Relationship Id="rId56" Type="http://schemas.openxmlformats.org/officeDocument/2006/relationships/hyperlink" Target="https://pmc.ncbi.nlm.nih.gov/articles/PMC8887175/?utm_source=chatgpt.com" TargetMode="External"/><Relationship Id="rId77" Type="http://schemas.openxmlformats.org/officeDocument/2006/relationships/hyperlink" Target="https://www.chcs.org/resource/medical-respite-care/?utm_source=chatgpt.com" TargetMode="External"/><Relationship Id="rId100" Type="http://schemas.openxmlformats.org/officeDocument/2006/relationships/hyperlink" Target="https://github.com/google-ai-edge/LiteRT-LM?utm_source=chatgpt.com" TargetMode="External"/><Relationship Id="rId105" Type="http://schemas.openxmlformats.org/officeDocument/2006/relationships/hyperlink" Target="https://www.hhs.gov/hipaa/for-professionals/privacy/guidance/minimum-necessary-requirement/index.html?utm_source=chatgpt.com" TargetMode="External"/><Relationship Id="rId8" Type="http://schemas.openxmlformats.org/officeDocument/2006/relationships/hyperlink" Target="https://pmc.ncbi.nlm.nih.gov/articles/PMC10546518/?utm_source=chatgpt.com" TargetMode="External"/><Relationship Id="rId51" Type="http://schemas.openxmlformats.org/officeDocument/2006/relationships/hyperlink" Target="https://pmc.ncbi.nlm.nih.gov/articles/PMC10546518/?utm_source=chatgpt.com" TargetMode="External"/><Relationship Id="rId72" Type="http://schemas.openxmlformats.org/officeDocument/2006/relationships/hyperlink" Target="https://pmc.ncbi.nlm.nih.gov/articles/PMC2702998/?utm_source=chatgpt.com" TargetMode="External"/><Relationship Id="rId93" Type="http://schemas.openxmlformats.org/officeDocument/2006/relationships/hyperlink" Target="https://www.unitedway.org/our-impact/community-resiliency/211-connecting-people-to-local-resources?utm_source=chatgpt.com" TargetMode="External"/><Relationship Id="rId98" Type="http://schemas.openxmlformats.org/officeDocument/2006/relationships/hyperlink" Target="https://ai.google.dev/gemma/docs/capabilities/text/function-calling-gemma4?utm_source=chatgpt.com" TargetMode="External"/><Relationship Id="rId3" Type="http://schemas.openxmlformats.org/officeDocument/2006/relationships/settings" Target="settings.xml"/><Relationship Id="rId25" Type="http://schemas.openxmlformats.org/officeDocument/2006/relationships/hyperlink" Target="https://www.hud.gov/sites/documents/17-01cpdn.pdf" TargetMode="External"/><Relationship Id="rId46" Type="http://schemas.openxmlformats.org/officeDocument/2006/relationships/hyperlink" Target="https://nimrc.org/wp-content/uploads/2021/08/NIMRC_Medical-Respite-Literature-Review.pdf?utm_source=chatgpt.com" TargetMode="External"/><Relationship Id="rId67" Type="http://schemas.openxmlformats.org/officeDocument/2006/relationships/hyperlink" Target="https://pmc.ncbi.nlm.nih.gov/articles/PMC8863642/?utm_source=chatgpt.com" TargetMode="External"/><Relationship Id="rId20" Type="http://schemas.openxmlformats.org/officeDocument/2006/relationships/hyperlink" Target="https://www.chcs.org/resource/medical-respite-care/?utm_source=chatgpt.com" TargetMode="External"/><Relationship Id="rId41" Type="http://schemas.openxmlformats.org/officeDocument/2006/relationships/hyperlink" Target="https://www.abtglobal.com/files/insights/reports/2024/abt-global_prk-eval_final-report_5.4.24.pdf" TargetMode="External"/><Relationship Id="rId62" Type="http://schemas.openxmlformats.org/officeDocument/2006/relationships/hyperlink" Target="https://www.coloradocoalition.org/sites/default/files/2024-12/2024%20Death%20Review_F%20%281%29.pdf" TargetMode="External"/><Relationship Id="rId83" Type="http://schemas.openxmlformats.org/officeDocument/2006/relationships/hyperlink" Target="https://www.cbpp.org/research/housing/policymakers-can-solve-homelessness-by-scaling-up-proven-solutions-rental?utm_source=chatgpt.com" TargetMode="External"/><Relationship Id="rId88" Type="http://schemas.openxmlformats.org/officeDocument/2006/relationships/hyperlink" Target="https://www.hud.gov/sites/documents/17-01cpdn.pdf" TargetMode="External"/><Relationship Id="rId111" Type="http://schemas.openxmlformats.org/officeDocument/2006/relationships/theme" Target="theme/theme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2</TotalTime>
  <Pages>12</Pages>
  <Words>4876</Words>
  <Characters>32770</Characters>
  <Application>Microsoft Office Word</Application>
  <DocSecurity>0</DocSecurity>
  <Lines>546</Lines>
  <Paragraphs>244</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37402</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FIGHT THE DEMONS</dc:creator>
  <cp:keywords/>
  <cp:lastModifiedBy>FIGHT THE DEMONS</cp:lastModifiedBy>
  <cp:revision>2</cp:revision>
  <dcterms:created xsi:type="dcterms:W3CDTF">2026-04-03T09:49:00Z</dcterms:created>
  <dcterms:modified xsi:type="dcterms:W3CDTF">2026-04-03T09:49:00Z</dcterms:modified>
  <dc:language>en</dc:language>
</cp:coreProperties>
</file>

<file path=docProps/custom.xml><?xml version="1.0" encoding="utf-8"?>
<Properties xmlns="http://schemas.openxmlformats.org/officeDocument/2006/custom-properties" xmlns:vt="http://schemas.openxmlformats.org/officeDocument/2006/docPropsVTypes">
  <property fmtid="{D5CDD505-2E9C-101B-9397-08002B2CF9AE}" pid="2" name="generator">
    <vt:lpwstr>ChatGPT Deep Research</vt:lpwstr>
  </property>
</Properties>
</file>