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AA49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bookmarkStart w:id="0" w:name="appendix-a-master-symbol-index"/>
      <w:bookmarkStart w:id="1" w:name="closing-remark"/>
      <w:r w:rsidRPr="002B3C99">
        <w:rPr>
          <w:rFonts w:ascii="Times New Roman" w:eastAsia="Times New Roman" w:hAnsi="Times New Roman" w:cs="Times New Roman"/>
        </w:rPr>
        <w:t>Condor Brain Mathematical Reference Manual</w:t>
      </w:r>
    </w:p>
    <w:p w14:paraId="07199055" w14:textId="77777777" w:rsidR="002B3C99" w:rsidRPr="002B3C99" w:rsidRDefault="002B3C99" w:rsidP="002B3C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CondorBrain</w:t>
      </w:r>
      <w:proofErr w:type="spellEnd"/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Mamba</w:t>
      </w:r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2 Institutional Trading System</w:t>
      </w:r>
    </w:p>
    <w:p w14:paraId="7AC2D03C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A Mathematical Monograph</w:t>
      </w:r>
    </w:p>
    <w:p w14:paraId="1EBB9951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Core Dynamics · Risk Geometry · Loss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Landscape Theory</w:t>
      </w:r>
    </w:p>
    <w:p w14:paraId="1DF5744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Author:</w:t>
      </w:r>
      <w:r w:rsidRPr="002B3C99">
        <w:rPr>
          <w:rFonts w:ascii="Times New Roman" w:eastAsia="Times New Roman" w:hAnsi="Times New Roman" w:cs="Times New Roman"/>
        </w:rPr>
        <w:t xml:space="preserve"> Dr. T. Jerry Mahabub, Ph.D.</w:t>
      </w:r>
    </w:p>
    <w:p w14:paraId="6C7B401A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2AC073DD">
          <v:rect id="_x0000_i1295" style="width:0;height:1.5pt" o:hralign="center" o:hrstd="t" o:hr="t" fillcolor="#a0a0a0" stroked="f"/>
        </w:pict>
      </w:r>
    </w:p>
    <w:p w14:paraId="4F572400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5D0CE5E5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 Traceability Notice.</w:t>
      </w:r>
      <w:r w:rsidRPr="002B3C99">
        <w:rPr>
          <w:rFonts w:ascii="Times New Roman" w:eastAsia="Times New Roman" w:hAnsi="Times New Roman" w:cs="Times New Roman"/>
        </w:rPr>
        <w:br/>
        <w:t>All definitions, equations, and propositions in this monograph are explicitly cross</w:t>
      </w:r>
      <w:r w:rsidRPr="002B3C99">
        <w:rPr>
          <w:rFonts w:ascii="Times New Roman" w:eastAsia="Times New Roman" w:hAnsi="Times New Roman" w:cs="Times New Roman"/>
        </w:rPr>
        <w:noBreakHyphen/>
        <w:t>referenced to the originating source documents listed below. Page numbers and section labels correspond to the author</w:t>
      </w:r>
      <w:r w:rsidRPr="002B3C99">
        <w:rPr>
          <w:rFonts w:ascii="Times New Roman" w:eastAsia="Times New Roman" w:hAnsi="Times New Roman" w:cs="Times New Roman"/>
        </w:rPr>
        <w:noBreakHyphen/>
        <w:t>provided PDFs.</w:t>
      </w:r>
    </w:p>
    <w:p w14:paraId="52DC707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Primary Sources</w:t>
      </w:r>
    </w:p>
    <w:p w14:paraId="6DD42D45" w14:textId="77777777" w:rsidR="002B3C99" w:rsidRPr="002B3C99" w:rsidRDefault="002B3C99" w:rsidP="002B3C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 xml:space="preserve">Integrated Implementation Strategy: Synthesizing </w:t>
      </w:r>
      <w:proofErr w:type="spellStart"/>
      <w:r w:rsidRPr="002B3C99">
        <w:rPr>
          <w:rFonts w:ascii="Times New Roman" w:eastAsia="Times New Roman" w:hAnsi="Times New Roman" w:cs="Times New Roman"/>
          <w:i/>
          <w:iCs/>
        </w:rPr>
        <w:t>CondorBrain</w:t>
      </w:r>
      <w:proofErr w:type="spellEnd"/>
      <w:r w:rsidRPr="002B3C99">
        <w:rPr>
          <w:rFonts w:ascii="Times New Roman" w:eastAsia="Times New Roman" w:hAnsi="Times New Roman" w:cs="Times New Roman"/>
          <w:i/>
          <w:iCs/>
        </w:rPr>
        <w:t xml:space="preserve"> Architectures</w:t>
      </w:r>
      <w:r w:rsidRPr="002B3C99">
        <w:rPr>
          <w:rFonts w:ascii="Times New Roman" w:eastAsia="Times New Roman" w:hAnsi="Times New Roman" w:cs="Times New Roman"/>
        </w:rPr>
        <w:t xml:space="preserve"> (Jan 14, 2026)</w:t>
      </w:r>
    </w:p>
    <w:p w14:paraId="7FD9A34D" w14:textId="77777777" w:rsidR="002B3C99" w:rsidRPr="002B3C99" w:rsidRDefault="002B3C99" w:rsidP="002B3C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 xml:space="preserve">Enhancing </w:t>
      </w:r>
      <w:proofErr w:type="spellStart"/>
      <w:r w:rsidRPr="002B3C99">
        <w:rPr>
          <w:rFonts w:ascii="Times New Roman" w:eastAsia="Times New Roman" w:hAnsi="Times New Roman" w:cs="Times New Roman"/>
          <w:i/>
          <w:iCs/>
        </w:rPr>
        <w:t>CondorBrain</w:t>
      </w:r>
      <w:proofErr w:type="spellEnd"/>
      <w:r w:rsidRPr="002B3C99">
        <w:rPr>
          <w:rFonts w:ascii="Times New Roman" w:eastAsia="Times New Roman" w:hAnsi="Times New Roman" w:cs="Times New Roman"/>
          <w:i/>
          <w:iCs/>
        </w:rPr>
        <w:t xml:space="preserve"> (Mamba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2) for Institutional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Grade SPY Options Trading</w:t>
      </w:r>
    </w:p>
    <w:p w14:paraId="5B5ACF43" w14:textId="77777777" w:rsidR="002B3C99" w:rsidRPr="002B3C99" w:rsidRDefault="002B3C99" w:rsidP="002B3C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>Enhancing the Mamba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2 Neural Network for Advanced Trading and ROI Optimization</w:t>
      </w:r>
    </w:p>
    <w:p w14:paraId="45CE14C8" w14:textId="77777777" w:rsidR="002B3C99" w:rsidRPr="002B3C99" w:rsidRDefault="002B3C99" w:rsidP="002B3C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>Loss Function Specification and Training Error Interpretation</w:t>
      </w:r>
      <w:r w:rsidRPr="002B3C99">
        <w:rPr>
          <w:rFonts w:ascii="Times New Roman" w:eastAsia="Times New Roman" w:hAnsi="Times New Roman" w:cs="Times New Roman"/>
        </w:rPr>
        <w:t xml:space="preserve"> (Jan 11, 2026)</w:t>
      </w:r>
    </w:p>
    <w:p w14:paraId="0E001586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Each chapter header below includes parenthetical citations of the form </w:t>
      </w:r>
      <w:r w:rsidRPr="002B3C99">
        <w:rPr>
          <w:rFonts w:ascii="Times New Roman" w:eastAsia="Times New Roman" w:hAnsi="Times New Roman" w:cs="Times New Roman"/>
          <w:b/>
          <w:bCs/>
        </w:rPr>
        <w:t>[</w:t>
      </w:r>
      <w:proofErr w:type="gramStart"/>
      <w:r w:rsidRPr="002B3C99">
        <w:rPr>
          <w:rFonts w:ascii="Times New Roman" w:eastAsia="Times New Roman" w:hAnsi="Times New Roman" w:cs="Times New Roman"/>
          <w:b/>
          <w:bCs/>
        </w:rPr>
        <w:t>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#,</w:t>
      </w:r>
      <w:proofErr w:type="gramEnd"/>
      <w:r w:rsidRPr="002B3C99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B3C99">
        <w:rPr>
          <w:rFonts w:ascii="Times New Roman" w:eastAsia="Times New Roman" w:hAnsi="Times New Roman" w:cs="Times New Roman"/>
          <w:b/>
          <w:bCs/>
        </w:rPr>
        <w:t>p.X</w:t>
      </w:r>
      <w:proofErr w:type="spellEnd"/>
      <w:r w:rsidRPr="002B3C99">
        <w:rPr>
          <w:rFonts w:ascii="Times New Roman" w:eastAsia="Times New Roman" w:hAnsi="Times New Roman" w:cs="Times New Roman"/>
          <w:b/>
          <w:bCs/>
        </w:rPr>
        <w:t>, §Y]</w:t>
      </w:r>
      <w:r w:rsidRPr="002B3C99">
        <w:rPr>
          <w:rFonts w:ascii="Times New Roman" w:eastAsia="Times New Roman" w:hAnsi="Times New Roman" w:cs="Times New Roman"/>
        </w:rPr>
        <w:t xml:space="preserve"> indicating document number, page, and section where the equation or concept first appears.</w:t>
      </w:r>
    </w:p>
    <w:p w14:paraId="3446797E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This monograph presents a rigorous mathematical treatment of the </w:t>
      </w:r>
      <w:proofErr w:type="spellStart"/>
      <w:r w:rsidRPr="002B3C99">
        <w:rPr>
          <w:rFonts w:ascii="Times New Roman" w:eastAsia="Times New Roman" w:hAnsi="Times New Roman" w:cs="Times New Roman"/>
        </w:rPr>
        <w:t>CondorBrain</w:t>
      </w:r>
      <w:proofErr w:type="spellEnd"/>
      <w:r w:rsidRPr="002B3C99">
        <w:rPr>
          <w:rFonts w:ascii="Times New Roman" w:eastAsia="Times New Roman" w:hAnsi="Times New Roman" w:cs="Times New Roman"/>
        </w:rPr>
        <w:t xml:space="preserve"> / Mamba</w:t>
      </w:r>
      <w:r w:rsidRPr="002B3C99">
        <w:rPr>
          <w:rFonts w:ascii="Times New Roman" w:eastAsia="Times New Roman" w:hAnsi="Times New Roman" w:cs="Times New Roman"/>
        </w:rPr>
        <w:noBreakHyphen/>
        <w:t>2 institutional trading system. The work is structured as a formal applied</w:t>
      </w:r>
      <w:r w:rsidRPr="002B3C99">
        <w:rPr>
          <w:rFonts w:ascii="Times New Roman" w:eastAsia="Times New Roman" w:hAnsi="Times New Roman" w:cs="Times New Roman"/>
        </w:rPr>
        <w:noBreakHyphen/>
        <w:t xml:space="preserve">mathematics text and introduces explicit </w:t>
      </w:r>
      <w:r w:rsidRPr="002B3C99">
        <w:rPr>
          <w:rFonts w:ascii="Times New Roman" w:eastAsia="Times New Roman" w:hAnsi="Times New Roman" w:cs="Times New Roman"/>
          <w:b/>
          <w:bCs/>
        </w:rPr>
        <w:t>definitions, propositions, lemmas, and asymptotic results</w:t>
      </w:r>
      <w:r w:rsidRPr="002B3C99">
        <w:rPr>
          <w:rFonts w:ascii="Times New Roman" w:eastAsia="Times New Roman" w:hAnsi="Times New Roman" w:cs="Times New Roman"/>
        </w:rPr>
        <w:t xml:space="preserve"> governing signal dynamics, risk propagation, and optimization geometry.</w:t>
      </w:r>
    </w:p>
    <w:p w14:paraId="0EAF9903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The objective is not merely descriptive, but </w:t>
      </w:r>
      <w:r w:rsidRPr="002B3C99">
        <w:rPr>
          <w:rFonts w:ascii="Times New Roman" w:eastAsia="Times New Roman" w:hAnsi="Times New Roman" w:cs="Times New Roman"/>
          <w:i/>
          <w:iCs/>
        </w:rPr>
        <w:t>theoretical</w:t>
      </w:r>
      <w:r w:rsidRPr="002B3C99">
        <w:rPr>
          <w:rFonts w:ascii="Times New Roman" w:eastAsia="Times New Roman" w:hAnsi="Times New Roman" w:cs="Times New Roman"/>
        </w:rPr>
        <w:t>: to establish provable scaling laws, stability properties, and geometric interpretations underlying neural</w:t>
      </w:r>
      <w:r w:rsidRPr="002B3C99">
        <w:rPr>
          <w:rFonts w:ascii="Times New Roman" w:eastAsia="Times New Roman" w:hAnsi="Times New Roman" w:cs="Times New Roman"/>
        </w:rPr>
        <w:noBreakHyphen/>
        <w:t>state</w:t>
      </w:r>
      <w:r w:rsidRPr="002B3C99">
        <w:rPr>
          <w:rFonts w:ascii="Times New Roman" w:eastAsia="Times New Roman" w:hAnsi="Times New Roman" w:cs="Times New Roman"/>
        </w:rPr>
        <w:noBreakHyphen/>
        <w:t>space trading systems.</w:t>
      </w:r>
    </w:p>
    <w:p w14:paraId="018DD173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34299EAE">
          <v:rect id="_x0000_i1296" style="width:0;height:1.5pt" o:hralign="center" o:hrstd="t" o:hr="t" fillcolor="#a0a0a0" stroked="f"/>
        </w:pict>
      </w:r>
    </w:p>
    <w:p w14:paraId="31213DBD" w14:textId="77777777" w:rsidR="00C47D21" w:rsidRDefault="00C47D2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38A8D596" w14:textId="23954914" w:rsidR="002B3C99" w:rsidRPr="002B3C99" w:rsidRDefault="002B3C99" w:rsidP="002B3C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I — Core Dynamics</w:t>
      </w:r>
    </w:p>
    <w:p w14:paraId="4016A6C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>(Primary sources: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1, pp.1–3;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2, pp.1–2;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3, pp.1–4)</w:t>
      </w:r>
    </w:p>
    <w:p w14:paraId="4009B41B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1. Time, Returns, and Probability Space</w:t>
      </w:r>
    </w:p>
    <w:p w14:paraId="4F4F3B09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[Doc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4, pp.2–3; 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1, p.1 §Validation]</w:t>
      </w:r>
    </w:p>
    <w:p w14:paraId="2D98B032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1.1 (Discrete Market Time)</w:t>
      </w:r>
    </w:p>
    <w:p w14:paraId="55AC4588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Let</w:t>
      </w:r>
    </w:p>
    <w:p w14:paraId="4CF4444D" w14:textId="3D690F38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t∈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≥0</m:t>
              </m:r>
            </m:sub>
          </m:sSub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51ED2C44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denote discrete market time indexed by bars of fixed duration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>t</m:t>
        </m:r>
      </m:oMath>
      <w:r w:rsidRPr="002B3C99">
        <w:rPr>
          <w:rFonts w:ascii="Times New Roman" w:eastAsia="Times New Roman" w:hAnsi="Times New Roman" w:cs="Times New Roman"/>
        </w:rPr>
        <w:t>.</w:t>
      </w:r>
    </w:p>
    <w:p w14:paraId="12C814EE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3BB9584C">
          <v:rect id="_x0000_i1297" style="width:0;height:1.5pt" o:hralign="center" o:hrstd="t" o:hr="t" fillcolor="#a0a0a0" stroked="f"/>
        </w:pict>
      </w:r>
    </w:p>
    <w:p w14:paraId="20D7BB57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1.2 (Log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Return)</w:t>
      </w:r>
    </w:p>
    <w:p w14:paraId="0F3ABA05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 xml:space="preserve">4, p.2, </w:t>
      </w:r>
      <w:r w:rsidRPr="002B3C99">
        <w:rPr>
          <w:rFonts w:ascii="Times New Roman" w:eastAsia="Times New Roman" w:hAnsi="Times New Roman" w:cs="Times New Roman"/>
          <w:i/>
          <w:iCs/>
        </w:rPr>
        <w:t>Mathematical Definition of the Huber Loss</w:t>
      </w:r>
      <w:r w:rsidRPr="002B3C99">
        <w:rPr>
          <w:rFonts w:ascii="Times New Roman" w:eastAsia="Times New Roman" w:hAnsi="Times New Roman" w:cs="Times New Roman"/>
        </w:rPr>
        <w:t xml:space="preserve"> (target definition section) Let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  <m:r>
          <w:rPr>
            <w:rFonts w:ascii="Cambria Math" w:eastAsia="Times New Roman" w:hAnsi="Cambria Math" w:cs="Times New Roman"/>
          </w:rPr>
          <m:t>&gt;0</m:t>
        </m:r>
      </m:oMath>
      <w:r w:rsidRPr="002B3C99">
        <w:rPr>
          <w:rFonts w:ascii="Times New Roman" w:eastAsia="Times New Roman" w:hAnsi="Times New Roman" w:cs="Times New Roman"/>
        </w:rPr>
        <w:t>be the asset price. The (unscaled) log</w:t>
      </w:r>
      <w:r w:rsidRPr="002B3C99">
        <w:rPr>
          <w:rFonts w:ascii="Times New Roman" w:eastAsia="Times New Roman" w:hAnsi="Times New Roman" w:cs="Times New Roman"/>
        </w:rPr>
        <w:noBreakHyphen/>
        <w:t>return is</w:t>
      </w:r>
    </w:p>
    <w:p w14:paraId="5AFF1B3F" w14:textId="02799C6F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log</m:t>
          </m:r>
          <m:r>
            <w:rPr>
              <w:rFonts w:ascii="Cambria Math" w:eastAsia="Times New Roman" w:hAnsi="Cambria Math" w:cs="Times New Roman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t-1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7C51A07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507D2257">
          <v:rect id="_x0000_i1298" style="width:0;height:1.5pt" o:hralign="center" o:hrstd="t" o:hr="t" fillcolor="#a0a0a0" stroked="f"/>
        </w:pict>
      </w:r>
    </w:p>
    <w:p w14:paraId="2F8445BA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1.3 (Scaled Training Return)</w:t>
      </w:r>
    </w:p>
    <w:p w14:paraId="0073B97B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 xml:space="preserve">4, pp.6–7, </w:t>
      </w:r>
      <w:r w:rsidRPr="002B3C99">
        <w:rPr>
          <w:rFonts w:ascii="Times New Roman" w:eastAsia="Times New Roman" w:hAnsi="Times New Roman" w:cs="Times New Roman"/>
          <w:i/>
          <w:iCs/>
        </w:rPr>
        <w:t>Target Scaling and Error Regime Interpretation</w:t>
      </w:r>
      <w:r w:rsidRPr="002B3C99">
        <w:rPr>
          <w:rFonts w:ascii="Times New Roman" w:eastAsia="Times New Roman" w:hAnsi="Times New Roman" w:cs="Times New Roman"/>
        </w:rPr>
        <w:t xml:space="preserve"> For numerical conditioning, define</w:t>
      </w:r>
    </w:p>
    <w:p w14:paraId="729F4D0B" w14:textId="0E72ED93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s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</w:rPr>
            <m:t>:=α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,α=100.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645B8306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6B9B4F6D">
          <v:rect id="_x0000_i1299" style="width:0;height:1.5pt" o:hralign="center" o:hrstd="t" o:hr="t" fillcolor="#a0a0a0" stroked="f"/>
        </w:pict>
      </w:r>
    </w:p>
    <w:p w14:paraId="25BE7571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2. Embedding and State Space Representation</w:t>
      </w:r>
    </w:p>
    <w:p w14:paraId="16AC37F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[Doc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2, p.1; 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3, p.1; 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1, p.3 §Architecture]</w:t>
      </w:r>
    </w:p>
    <w:p w14:paraId="67EC8068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2.1 (Input Feature Vector)</w:t>
      </w:r>
    </w:p>
    <w:p w14:paraId="77070905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lastRenderedPageBreak/>
        <w:t xml:space="preserve">At time </w:t>
      </w:r>
      <m:oMath>
        <m:r>
          <w:rPr>
            <w:rFonts w:ascii="Cambria Math" w:eastAsia="Times New Roman" w:hAnsi="Cambria Math" w:cs="Times New Roman"/>
          </w:rPr>
          <m:t>t</m:t>
        </m:r>
      </m:oMath>
      <w:r w:rsidRPr="002B3C99">
        <w:rPr>
          <w:rFonts w:ascii="Times New Roman" w:eastAsia="Times New Roman" w:hAnsi="Times New Roman" w:cs="Times New Roman"/>
        </w:rPr>
        <w:t>, the feature vector is</w:t>
      </w:r>
    </w:p>
    <w:p w14:paraId="63F1EC97" w14:textId="6A10CA10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F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530E4CB9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4042F10C">
          <v:rect id="_x0000_i1300" style="width:0;height:1.5pt" o:hralign="center" o:hrstd="t" o:hr="t" fillcolor="#a0a0a0" stroked="f"/>
        </w:pict>
      </w:r>
    </w:p>
    <w:p w14:paraId="66A23650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2.2 (Neural Embedding)</w:t>
      </w:r>
    </w:p>
    <w:p w14:paraId="780A847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Define the embedding map</w:t>
      </w:r>
    </w:p>
    <w:p w14:paraId="468978B1" w14:textId="2124B85B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:=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LayerNorm</m:t>
          </m:r>
          <m:r>
            <w:rPr>
              <w:rFonts w:ascii="Cambria Math" w:eastAsia="Times New Roman" w:hAnsi="Cambria Math" w:cs="Times New Roman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in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in</m:t>
              </m:r>
            </m:sub>
          </m:sSub>
          <m:r>
            <w:rPr>
              <w:rFonts w:ascii="Cambria Math" w:eastAsia="Times New Roman" w:hAnsi="Cambria Math" w:cs="Times New Roman"/>
            </w:rPr>
            <m:t>),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22E7EAA8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in</m:t>
            </m:r>
          </m:sub>
        </m:sSub>
        <m:r>
          <w:rPr>
            <w:rFonts w:ascii="Cambria Math" w:eastAsia="Times New Roman" w:hAnsi="Cambria Math" w:cs="Times New Roman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</w:rPr>
              <m:t>D×F</m:t>
            </m:r>
          </m:sup>
        </m:sSup>
      </m:oMath>
      <w:r w:rsidRPr="002B3C99">
        <w:rPr>
          <w:rFonts w:ascii="Times New Roman" w:eastAsia="Times New Roman" w:hAnsi="Times New Roman" w:cs="Times New Roman"/>
        </w:rPr>
        <w:t>.</w:t>
      </w:r>
    </w:p>
    <w:p w14:paraId="3621E608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63263B4A">
          <v:rect id="_x0000_i1301" style="width:0;height:1.5pt" o:hralign="center" o:hrstd="t" o:hr="t" fillcolor="#a0a0a0" stroked="f"/>
        </w:pict>
      </w:r>
    </w:p>
    <w:p w14:paraId="4D8280D2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2.3 (Continuous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Time State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Space Model)</w:t>
      </w:r>
    </w:p>
    <w:p w14:paraId="2294CFCF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 xml:space="preserve">2, p.1, </w:t>
      </w:r>
      <w:r w:rsidRPr="002B3C99">
        <w:rPr>
          <w:rFonts w:ascii="Times New Roman" w:eastAsia="Times New Roman" w:hAnsi="Times New Roman" w:cs="Times New Roman"/>
          <w:i/>
          <w:iCs/>
        </w:rPr>
        <w:t>State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Space Model (SSM)</w:t>
      </w:r>
      <w:r w:rsidRPr="002B3C99">
        <w:rPr>
          <w:rFonts w:ascii="Times New Roman" w:eastAsia="Times New Roman" w:hAnsi="Times New Roman" w:cs="Times New Roman"/>
        </w:rPr>
        <w:t xml:space="preserve"> The latent state evolves according to</w:t>
      </w:r>
    </w:p>
    <w:p w14:paraId="41F4F1AB" w14:textId="18C14E28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dh(t)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</w:rPr>
            <m:t>=Ah(t)+BE(t),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6CE8132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with output</w:t>
      </w:r>
    </w:p>
    <w:p w14:paraId="1E3467F6" w14:textId="4AE018DE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y(t)=Ch(t)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5B850E46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4CBD6F3B">
          <v:rect id="_x0000_i1302" style="width:0;height:1.5pt" o:hralign="center" o:hrstd="t" o:hr="t" fillcolor="#a0a0a0" stroked="f"/>
        </w:pict>
      </w:r>
    </w:p>
    <w:p w14:paraId="1A817F54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2.4 (Discrete Selective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Scan SSM)</w:t>
      </w:r>
    </w:p>
    <w:p w14:paraId="74FE8291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>2, p.1; Doc</w:t>
      </w:r>
      <w:r w:rsidRPr="002B3C99">
        <w:rPr>
          <w:rFonts w:ascii="Times New Roman" w:eastAsia="Times New Roman" w:hAnsi="Times New Roman" w:cs="Times New Roman"/>
        </w:rPr>
        <w:noBreakHyphen/>
        <w:t xml:space="preserve">3, p.1, </w:t>
      </w:r>
      <w:r w:rsidRPr="002B3C99">
        <w:rPr>
          <w:rFonts w:ascii="Times New Roman" w:eastAsia="Times New Roman" w:hAnsi="Times New Roman" w:cs="Times New Roman"/>
          <w:i/>
          <w:iCs/>
        </w:rPr>
        <w:t>Selective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Scan Mechanism</w:t>
      </w:r>
      <w:r w:rsidRPr="002B3C99">
        <w:rPr>
          <w:rFonts w:ascii="Times New Roman" w:eastAsia="Times New Roman" w:hAnsi="Times New Roman" w:cs="Times New Roman"/>
        </w:rPr>
        <w:t xml:space="preserve"> After discretization,</w:t>
      </w:r>
    </w:p>
    <w:p w14:paraId="62E3F8B3" w14:textId="1226C94E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,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5EC8C6F6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  <m:r>
          <w:rPr>
            <w:rFonts w:ascii="Cambria Math" w:eastAsia="Times New Roman" w:hAnsi="Cambria Math" w:cs="Times New Roma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</w:rPr>
                  <m:t>B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 xml:space="preserve">are </w:t>
      </w:r>
      <w:r w:rsidRPr="002B3C99">
        <w:rPr>
          <w:rFonts w:ascii="Times New Roman" w:eastAsia="Times New Roman" w:hAnsi="Times New Roman" w:cs="Times New Roman"/>
          <w:b/>
          <w:bCs/>
        </w:rPr>
        <w:t>input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adaptive operators</w:t>
      </w:r>
      <w:r w:rsidRPr="002B3C99">
        <w:rPr>
          <w:rFonts w:ascii="Times New Roman" w:eastAsia="Times New Roman" w:hAnsi="Times New Roman" w:cs="Times New Roman"/>
        </w:rPr>
        <w:t>.</w:t>
      </w:r>
    </w:p>
    <w:p w14:paraId="5785C6B3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1A61131C">
          <v:rect id="_x0000_i1303" style="width:0;height:1.5pt" o:hralign="center" o:hrstd="t" o:hr="t" fillcolor="#a0a0a0" stroked="f"/>
        </w:pict>
      </w:r>
    </w:p>
    <w:p w14:paraId="47AFCFED" w14:textId="77777777" w:rsidR="00C47D21" w:rsidRDefault="00C47D2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249A1E" w14:textId="63D04339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Lemma 2.1 (Bounded State Growth)</w:t>
      </w:r>
    </w:p>
    <w:p w14:paraId="1139499E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Assume:</w:t>
      </w:r>
    </w:p>
    <w:p w14:paraId="5DC9E845" w14:textId="77777777" w:rsidR="002B3C99" w:rsidRPr="002B3C99" w:rsidRDefault="002B3C99" w:rsidP="002B3C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∥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≤1-η</m:t>
        </m:r>
      </m:oMath>
      <w:r w:rsidRPr="002B3C99">
        <w:rPr>
          <w:rFonts w:ascii="Times New Roman" w:eastAsia="Times New Roman" w:hAnsi="Times New Roman" w:cs="Times New Roman"/>
        </w:rPr>
        <w:t xml:space="preserve">for some </w:t>
      </w:r>
      <m:oMath>
        <m:r>
          <w:rPr>
            <w:rFonts w:ascii="Cambria Math" w:eastAsia="Times New Roman" w:hAnsi="Cambria Math" w:cs="Times New Roman"/>
          </w:rPr>
          <m:t>η&gt;0</m:t>
        </m:r>
      </m:oMath>
    </w:p>
    <w:p w14:paraId="25E08FE9" w14:textId="77777777" w:rsidR="002B3C99" w:rsidRPr="002B3C99" w:rsidRDefault="002B3C99" w:rsidP="002B3C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∥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≤M&lt;</m:t>
        </m:r>
        <m:r>
          <m:rPr>
            <m:sty m:val="p"/>
          </m:rPr>
          <w:rPr>
            <w:rFonts w:ascii="Cambria Math" w:eastAsia="Times New Roman" w:hAnsi="Cambria Math" w:cs="Times New Roman"/>
          </w:rPr>
          <m:t>∞</m:t>
        </m:r>
      </m:oMath>
    </w:p>
    <w:p w14:paraId="32FDA640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Then the state norm satisfies</w:t>
      </w:r>
    </w:p>
    <w:p w14:paraId="47DFBF77" w14:textId="750561D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∥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≤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∥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η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6DC10661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Interpretation:</w:t>
      </w:r>
      <w:r w:rsidRPr="002B3C99">
        <w:rPr>
          <w:rFonts w:ascii="Times New Roman" w:eastAsia="Times New Roman" w:hAnsi="Times New Roman" w:cs="Times New Roman"/>
        </w:rPr>
        <w:t xml:space="preserve"> selective</w:t>
      </w:r>
      <w:r w:rsidRPr="002B3C99">
        <w:rPr>
          <w:rFonts w:ascii="Times New Roman" w:eastAsia="Times New Roman" w:hAnsi="Times New Roman" w:cs="Times New Roman"/>
        </w:rPr>
        <w:noBreakHyphen/>
        <w:t xml:space="preserve">scan gating enforces </w:t>
      </w:r>
      <w:r w:rsidRPr="002B3C99">
        <w:rPr>
          <w:rFonts w:ascii="Times New Roman" w:eastAsia="Times New Roman" w:hAnsi="Times New Roman" w:cs="Times New Roman"/>
          <w:i/>
          <w:iCs/>
        </w:rPr>
        <w:t>contractive memory</w:t>
      </w:r>
      <w:r w:rsidRPr="002B3C99">
        <w:rPr>
          <w:rFonts w:ascii="Times New Roman" w:eastAsia="Times New Roman" w:hAnsi="Times New Roman" w:cs="Times New Roman"/>
        </w:rPr>
        <w:t>.</w:t>
      </w:r>
    </w:p>
    <w:p w14:paraId="211EA263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1926E97F">
          <v:rect id="_x0000_i1304" style="width:0;height:1.5pt" o:hralign="center" o:hrstd="t" o:hr="t" fillcolor="#a0a0a0" stroked="f"/>
        </w:pict>
      </w:r>
    </w:p>
    <w:p w14:paraId="2F488037" w14:textId="77777777" w:rsidR="002B3C99" w:rsidRPr="002B3C99" w:rsidRDefault="002B3C99" w:rsidP="002B3C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— Risk Geometry</w:t>
      </w:r>
    </w:p>
    <w:p w14:paraId="0B6B8611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>(Primary sources: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4, pp.6–13;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1, p.2 §Pivot Logic)</w:t>
      </w:r>
    </w:p>
    <w:p w14:paraId="3702E39D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3. Forecast Error and Price Geometry</w:t>
      </w:r>
    </w:p>
    <w:p w14:paraId="04E2C2A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[Doc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4, pp.6–9]</w:t>
      </w:r>
    </w:p>
    <w:p w14:paraId="0A5302A6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3.1 (Forecast Error)</w:t>
      </w:r>
    </w:p>
    <w:p w14:paraId="2D995CB1" w14:textId="612DFD4D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Pr="002B3C99">
        <w:rPr>
          <w:rFonts w:ascii="Times New Roman" w:eastAsia="Times New Roman" w:hAnsi="Times New Roman" w:cs="Times New Roman"/>
        </w:rPr>
        <w:t>predict the</w:t>
      </w:r>
      <w:r w:rsidRPr="002B3C99">
        <w:rPr>
          <w:rFonts w:ascii="Times New Roman" w:eastAsia="Times New Roman" w:hAnsi="Times New Roman" w:cs="Times New Roman"/>
        </w:rPr>
        <w:t xml:space="preserve"> return. Define</w:t>
      </w:r>
    </w:p>
    <w:p w14:paraId="6F85C997" w14:textId="6A877142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7A939725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04D87C31">
          <v:rect id="_x0000_i1305" style="width:0;height:1.5pt" o:hralign="center" o:hrstd="t" o:hr="t" fillcolor="#a0a0a0" stroked="f"/>
        </w:pict>
      </w:r>
    </w:p>
    <w:p w14:paraId="0B1A58DC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3.2 (Price Error Propagation)</w:t>
      </w:r>
    </w:p>
    <w:p w14:paraId="0CCFB17D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For small returns,</w:t>
      </w:r>
    </w:p>
    <w:p w14:paraId="16D8B96B" w14:textId="6910F06D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134DE968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0021091F">
          <v:rect id="_x0000_i1306" style="width:0;height:1.5pt" o:hralign="center" o:hrstd="t" o:hr="t" fillcolor="#a0a0a0" stroked="f"/>
        </w:pict>
      </w:r>
    </w:p>
    <w:p w14:paraId="2F0002B7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Lemma 3.1 (Sub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Gaussian Forecast Noise)</w:t>
      </w:r>
    </w:p>
    <w:p w14:paraId="2E74E858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Assume forecast errors satisfy</w:t>
      </w:r>
    </w:p>
    <w:p w14:paraId="560244D8" w14:textId="49E484AD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</w:rPr>
            <w:lastRenderedPageBreak/>
            <m:t>E</m:t>
          </m:r>
          <m:r>
            <w:rPr>
              <w:rFonts w:ascii="Cambria Math" w:eastAsia="Times New Roman" w:hAnsi="Cambria Math" w:cs="Times New Roma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]=0,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</w:rPr>
            <m:t>E</m:t>
          </m:r>
          <m:r>
            <w:rPr>
              <w:rFonts w:ascii="Cambria Math" w:eastAsia="Times New Roman" w:hAnsi="Cambria Math" w:cs="Times New Roman"/>
            </w:rPr>
            <m:t>[</m:t>
          </m:r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</w:rPr>
            <m:t>]=</m:t>
          </m:r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e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3017FA3F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Then price errors satisfy</w:t>
      </w:r>
    </w:p>
    <w:p w14:paraId="22E80C52" w14:textId="5EC2BD15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</w:rPr>
            <m:t>E</m:t>
          </m:r>
          <m:r>
            <w:rPr>
              <w:rFonts w:ascii="Cambria Math" w:eastAsia="Times New Roman" w:hAnsi="Cambria Math" w:cs="Times New Roman"/>
            </w:rPr>
            <m:t>[(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]=</m:t>
          </m:r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e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3B2D5991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0E6788E9">
          <v:rect id="_x0000_i1307" style="width:0;height:1.5pt" o:hralign="center" o:hrstd="t" o:hr="t" fillcolor="#a0a0a0" stroked="f"/>
        </w:pict>
      </w:r>
    </w:p>
    <w:p w14:paraId="55D1D6DB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4. Delta</w:t>
      </w: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Weighted </w:t>
      </w:r>
      <w:proofErr w:type="spellStart"/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PnL</w:t>
      </w:r>
      <w:proofErr w:type="spellEnd"/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Geometry</w:t>
      </w:r>
    </w:p>
    <w:p w14:paraId="6E2C7ED3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4.1 (Delta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 xml:space="preserve">Weighted </w:t>
      </w:r>
      <w:proofErr w:type="spellStart"/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PnL</w:t>
      </w:r>
      <w:proofErr w:type="spellEnd"/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Noise)</w:t>
      </w:r>
    </w:p>
    <w:p w14:paraId="3C0A5ABD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For net delta exposure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net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, define</w:t>
      </w:r>
    </w:p>
    <w:p w14:paraId="7447E8B0" w14:textId="6FDCBF78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net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5B69496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34FC1149">
          <v:rect id="_x0000_i1308" style="width:0;height:1.5pt" o:hralign="center" o:hrstd="t" o:hr="t" fillcolor="#a0a0a0" stroked="f"/>
        </w:pict>
      </w:r>
    </w:p>
    <w:p w14:paraId="486F00A7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Lemma 4.1 (Variance of </w:t>
      </w:r>
      <w:proofErr w:type="spellStart"/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PnL</w:t>
      </w:r>
      <w:proofErr w:type="spellEnd"/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Noise)</w:t>
      </w:r>
    </w:p>
    <w:p w14:paraId="6578EF6A" w14:textId="02AA4D91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Var</m:t>
          </m:r>
          <m:r>
            <w:rPr>
              <w:rFonts w:ascii="Cambria Math" w:eastAsia="Times New Roman" w:hAnsi="Cambria Math" w:cs="Times New Roman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)=(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net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e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6B85B329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45300008">
          <v:rect id="_x0000_i1309" style="width:0;height:1.5pt" o:hralign="center" o:hrstd="t" o:hr="t" fillcolor="#a0a0a0" stroked="f"/>
        </w:pict>
      </w:r>
    </w:p>
    <w:p w14:paraId="03371D31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5. Drawdown Scaling Law</w:t>
      </w:r>
    </w:p>
    <w:p w14:paraId="7467867D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[Doc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4, pp.12–13]</w:t>
      </w:r>
    </w:p>
    <w:p w14:paraId="429F5143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Definition 5.1 (Cumulative Noise </w:t>
      </w:r>
      <w:proofErr w:type="spellStart"/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PnL</w:t>
      </w:r>
      <w:proofErr w:type="spellEnd"/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4FD5ED0" w14:textId="5A6E679A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:=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</w:rPr>
                <m:t>t=1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372B4BD9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5D7E0F24">
          <v:rect id="_x0000_i1310" style="width:0;height:1.5pt" o:hralign="center" o:hrstd="t" o:hr="t" fillcolor="#a0a0a0" stroked="f"/>
        </w:pict>
      </w:r>
    </w:p>
    <w:p w14:paraId="13098818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Proposition 5.1 (Forecast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Noise Drawdown Scaling)</w:t>
      </w:r>
    </w:p>
    <w:p w14:paraId="6FB6C666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 xml:space="preserve">4, p.13, </w:t>
      </w:r>
      <w:r w:rsidRPr="002B3C99">
        <w:rPr>
          <w:rFonts w:ascii="Times New Roman" w:eastAsia="Times New Roman" w:hAnsi="Times New Roman" w:cs="Times New Roman"/>
          <w:i/>
          <w:iCs/>
        </w:rPr>
        <w:t>Expected drawdown bound from forecast noise</w:t>
      </w:r>
      <w:r w:rsidRPr="002B3C99">
        <w:rPr>
          <w:rFonts w:ascii="Times New Roman" w:eastAsia="Times New Roman" w:hAnsi="Times New Roman" w:cs="Times New Roman"/>
        </w:rPr>
        <w:t xml:space="preserve"> Assume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are independent, mean</w:t>
      </w:r>
      <w:r w:rsidRPr="002B3C99">
        <w:rPr>
          <w:rFonts w:ascii="Times New Roman" w:eastAsia="Times New Roman" w:hAnsi="Times New Roman" w:cs="Times New Roman"/>
        </w:rPr>
        <w:noBreakHyphen/>
        <w:t>zero, sub</w:t>
      </w:r>
      <w:r w:rsidRPr="002B3C99">
        <w:rPr>
          <w:rFonts w:ascii="Times New Roman" w:eastAsia="Times New Roman" w:hAnsi="Times New Roman" w:cs="Times New Roman"/>
        </w:rPr>
        <w:noBreakHyphen/>
        <w:t>Gaussian with variance proxy</w:t>
      </w:r>
    </w:p>
    <w:p w14:paraId="51E63469" w14:textId="58895411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X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</w:rPr>
            <m:t>S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77575A4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lastRenderedPageBreak/>
        <w:t xml:space="preserve">Then the maximum drawdown </w:t>
      </w:r>
      <w:proofErr w:type="gramStart"/>
      <w:r w:rsidRPr="002B3C99">
        <w:rPr>
          <w:rFonts w:ascii="Times New Roman" w:eastAsia="Times New Roman" w:hAnsi="Times New Roman" w:cs="Times New Roman"/>
        </w:rPr>
        <w:t>due</w:t>
      </w:r>
      <w:proofErr w:type="gramEnd"/>
      <w:r w:rsidRPr="002B3C99">
        <w:rPr>
          <w:rFonts w:ascii="Times New Roman" w:eastAsia="Times New Roman" w:hAnsi="Times New Roman" w:cs="Times New Roman"/>
        </w:rPr>
        <w:t xml:space="preserve"> solely to forecast noise </w:t>
      </w:r>
      <w:proofErr w:type="gramStart"/>
      <w:r w:rsidRPr="002B3C99">
        <w:rPr>
          <w:rFonts w:ascii="Times New Roman" w:eastAsia="Times New Roman" w:hAnsi="Times New Roman" w:cs="Times New Roman"/>
        </w:rPr>
        <w:t>satisfies</w:t>
      </w:r>
      <w:proofErr w:type="gramEnd"/>
    </w:p>
    <w:p w14:paraId="402ED1B8" w14:textId="276AE7D8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sup</m:t>
              </m:r>
              <m:r>
                <w:rPr>
                  <w:rFonts w:ascii="Cambria Math" w:eastAsia="Times New Roman" w:hAnsi="Cambria Math" w:cs="Times New Roman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</w:rPr>
                <m:t>k≤N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∣</m:t>
          </m:r>
          <m:r>
            <w:rPr>
              <w:rFonts w:ascii="Cambria Math" w:eastAsia="Times New Roman" w:hAnsi="Cambria Math" w:cs="Times New Roman"/>
            </w:rPr>
            <m:t>=O(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X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</m:rad>
          <m:r>
            <w:rPr>
              <w:rFonts w:ascii="Cambria Math" w:eastAsia="Times New Roman" w:hAnsi="Cambria Math" w:cs="Times New Roman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</w:rPr>
            <m:t>with high probability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5F306213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Proof (Sketch):</w:t>
      </w:r>
      <w:r w:rsidRPr="002B3C99">
        <w:rPr>
          <w:rFonts w:ascii="Times New Roman" w:eastAsia="Times New Roman" w:hAnsi="Times New Roman" w:cs="Times New Roman"/>
        </w:rPr>
        <w:t xml:space="preserve"> By Azuma–</w:t>
      </w:r>
      <w:proofErr w:type="spellStart"/>
      <w:r w:rsidRPr="002B3C99">
        <w:rPr>
          <w:rFonts w:ascii="Times New Roman" w:eastAsia="Times New Roman" w:hAnsi="Times New Roman" w:cs="Times New Roman"/>
        </w:rPr>
        <w:t>Hoeffding</w:t>
      </w:r>
      <w:proofErr w:type="spellEnd"/>
      <w:r w:rsidRPr="002B3C99">
        <w:rPr>
          <w:rFonts w:ascii="Times New Roman" w:eastAsia="Times New Roman" w:hAnsi="Times New Roman" w:cs="Times New Roman"/>
        </w:rPr>
        <w:t xml:space="preserve"> or Bernstein inequality applied to the martingale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.</w:t>
      </w:r>
    </w:p>
    <w:p w14:paraId="5E2F51C3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4817C8EC">
          <v:rect id="_x0000_i1311" style="width:0;height:1.5pt" o:hralign="center" o:hrstd="t" o:hr="t" fillcolor="#a0a0a0" stroked="f"/>
        </w:pict>
      </w:r>
    </w:p>
    <w:p w14:paraId="58607E07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Corollary 5.1 (Daily Noise Drawdown Bound)</w:t>
      </w:r>
    </w:p>
    <w:p w14:paraId="08CFCABB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For confidence level </w:t>
      </w:r>
      <m:oMath>
        <m:r>
          <w:rPr>
            <w:rFonts w:ascii="Cambria Math" w:eastAsia="Times New Roman" w:hAnsi="Cambria Math" w:cs="Times New Roman"/>
          </w:rPr>
          <m:t>1-δ</m:t>
        </m:r>
      </m:oMath>
      <w:r w:rsidRPr="002B3C99">
        <w:rPr>
          <w:rFonts w:ascii="Times New Roman" w:eastAsia="Times New Roman" w:hAnsi="Times New Roman" w:cs="Times New Roman"/>
        </w:rPr>
        <w:t>,</w:t>
      </w:r>
    </w:p>
    <w:p w14:paraId="26A128E6" w14:textId="4B4D10E0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DD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noise</m:t>
              </m:r>
            </m:sub>
          </m:sSub>
          <m:r>
            <w:rPr>
              <w:rFonts w:ascii="Cambria Math" w:eastAsia="Times New Roman" w:hAnsi="Cambria Math" w:cs="Times New Roman"/>
            </w:rPr>
            <m:t>(N)≤C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</w:rPr>
            <m:t>S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log</m:t>
              </m:r>
              <m:r>
                <w:rPr>
                  <w:rFonts w:ascii="Cambria Math" w:eastAsia="Times New Roman" w:hAnsi="Cambria Math" w:cs="Times New Roman"/>
                </w:rPr>
                <m:t>⁡(1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/</m:t>
              </m:r>
              <m:r>
                <w:rPr>
                  <w:rFonts w:ascii="Cambria Math" w:eastAsia="Times New Roman" w:hAnsi="Cambria Math" w:cs="Times New Roman"/>
                </w:rPr>
                <m:t>δ)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FAAC58A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5383CE57">
          <v:rect id="_x0000_i1312" style="width:0;height:1.5pt" o:hralign="center" o:hrstd="t" o:hr="t" fillcolor="#a0a0a0" stroked="f"/>
        </w:pict>
      </w:r>
    </w:p>
    <w:p w14:paraId="25690BA3" w14:textId="77777777" w:rsidR="002B3C99" w:rsidRPr="002B3C99" w:rsidRDefault="002B3C99" w:rsidP="002B3C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— Loss</w:t>
      </w:r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Landscape Theory</w:t>
      </w:r>
    </w:p>
    <w:p w14:paraId="49F03126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>(Primary sources: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4, pp.2–6; Doc</w:t>
      </w:r>
      <w:r w:rsidRPr="002B3C99">
        <w:rPr>
          <w:rFonts w:ascii="Times New Roman" w:eastAsia="Times New Roman" w:hAnsi="Times New Roman" w:cs="Times New Roman"/>
          <w:i/>
          <w:iCs/>
        </w:rPr>
        <w:noBreakHyphen/>
        <w:t>1, p.2 §Composite Loss)</w:t>
      </w:r>
    </w:p>
    <w:p w14:paraId="1E9A5CD8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6. Huber Loss Geometry</w:t>
      </w:r>
    </w:p>
    <w:p w14:paraId="22E87C60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6.1 (Huber Loss)</w:t>
      </w:r>
    </w:p>
    <w:p w14:paraId="4BF8214D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 xml:space="preserve">4, p.2, </w:t>
      </w:r>
      <w:r w:rsidRPr="002B3C99">
        <w:rPr>
          <w:rFonts w:ascii="Times New Roman" w:eastAsia="Times New Roman" w:hAnsi="Times New Roman" w:cs="Times New Roman"/>
          <w:i/>
          <w:iCs/>
        </w:rPr>
        <w:t>Mathematical Definition of the Huber Loss</w:t>
      </w:r>
    </w:p>
    <w:p w14:paraId="09226A2E" w14:textId="668D3F2F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δ</m:t>
              </m:r>
            </m:sub>
          </m:sSub>
          <m:r>
            <w:rPr>
              <w:rFonts w:ascii="Cambria Math" w:eastAsia="Times New Roman" w:hAnsi="Cambria Math" w:cs="Times New Roman"/>
            </w:rPr>
            <m:t>(y,</m:t>
          </m:r>
          <m:acc>
            <m:accPr>
              <m:ctrlPr>
                <w:rPr>
                  <w:rFonts w:ascii="Cambria Math" w:eastAsia="Times New Roman" w:hAnsi="Cambria Math" w:cs="Times New Roman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</w:rPr>
            <m:t>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</w:rPr>
                      <m:t>(y-</m:t>
                    </m:r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y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≤δ,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δ(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</w:rPr>
                      <m:t>δ),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&gt;δ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.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8502D13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028FB9D3">
          <v:rect id="_x0000_i1313" style="width:0;height:1.5pt" o:hralign="center" o:hrstd="t" o:hr="t" fillcolor="#a0a0a0" stroked="f"/>
        </w:pict>
      </w:r>
    </w:p>
    <w:p w14:paraId="06DDD486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Lemma 6.1 (Gradient Boundedness)</w:t>
      </w:r>
    </w:p>
    <w:p w14:paraId="072EC903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The gradient </w:t>
      </w:r>
      <w:proofErr w:type="gramStart"/>
      <w:r w:rsidRPr="002B3C99">
        <w:rPr>
          <w:rFonts w:ascii="Times New Roman" w:eastAsia="Times New Roman" w:hAnsi="Times New Roman" w:cs="Times New Roman"/>
        </w:rPr>
        <w:t>satisfies</w:t>
      </w:r>
      <w:proofErr w:type="gramEnd"/>
    </w:p>
    <w:p w14:paraId="28E231A3" w14:textId="53BDD7CC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∇</m:t>
              </m:r>
            </m:e>
            <m:sub>
              <m:acc>
                <m:accPr>
                  <m:ctrlPr>
                    <w:rPr>
                      <w:rFonts w:ascii="Cambria Math" w:eastAsia="Times New Roman" w:hAnsi="Cambria Math" w:cs="Times New Roman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</w:rPr>
                    <m:t>y</m:t>
                  </m:r>
                </m:e>
              </m:acc>
            </m:sub>
          </m:sSub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∣</m:t>
          </m:r>
          <m:r>
            <w:rPr>
              <w:rFonts w:ascii="Cambria Math" w:eastAsia="Times New Roman" w:hAnsi="Cambria Math" w:cs="Times New Roman"/>
            </w:rPr>
            <m:t>≤δ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89700E0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Interpretation:</w:t>
      </w:r>
      <w:r w:rsidRPr="002B3C99">
        <w:rPr>
          <w:rFonts w:ascii="Times New Roman" w:eastAsia="Times New Roman" w:hAnsi="Times New Roman" w:cs="Times New Roman"/>
        </w:rPr>
        <w:t xml:space="preserve"> tail events cannot dominate optimization.</w:t>
      </w:r>
    </w:p>
    <w:p w14:paraId="24094FDE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lastRenderedPageBreak/>
        <w:pict w14:anchorId="5ED87B70">
          <v:rect id="_x0000_i1314" style="width:0;height:1.5pt" o:hralign="center" o:hrstd="t" o:hr="t" fillcolor="#a0a0a0" stroked="f"/>
        </w:pict>
      </w:r>
    </w:p>
    <w:p w14:paraId="1449BDDC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7. Sharpe and Drawdown Loss Geometry</w:t>
      </w:r>
    </w:p>
    <w:p w14:paraId="6C055BF7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7.1 (Sharpe Proxy)</w:t>
      </w:r>
    </w:p>
    <w:p w14:paraId="24A5F1AB" w14:textId="350C9243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Sharpe</m:t>
              </m:r>
            </m:sub>
          </m:sSub>
          <m:r>
            <w:rPr>
              <w:rFonts w:ascii="Cambria Math" w:eastAsia="Times New Roman" w:hAnsi="Cambria Math" w:cs="Times New Roman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σ+ε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D34E5FF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320462D7">
          <v:rect id="_x0000_i1315" style="width:0;height:1.5pt" o:hralign="center" o:hrstd="t" o:hr="t" fillcolor="#a0a0a0" stroked="f"/>
        </w:pict>
      </w:r>
    </w:p>
    <w:p w14:paraId="416815F1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7.2 (Soft Maximum Drawdown)</w:t>
      </w:r>
    </w:p>
    <w:p w14:paraId="511EA221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Source:</w:t>
      </w:r>
      <w:r w:rsidRPr="002B3C99">
        <w:rPr>
          <w:rFonts w:ascii="Times New Roman" w:eastAsia="Times New Roman" w:hAnsi="Times New Roman" w:cs="Times New Roman"/>
        </w:rPr>
        <w:t xml:space="preserve"> Doc</w:t>
      </w:r>
      <w:r w:rsidRPr="002B3C99">
        <w:rPr>
          <w:rFonts w:ascii="Times New Roman" w:eastAsia="Times New Roman" w:hAnsi="Times New Roman" w:cs="Times New Roman"/>
        </w:rPr>
        <w:noBreakHyphen/>
        <w:t xml:space="preserve">1, p.3, </w:t>
      </w:r>
      <w:r w:rsidRPr="002B3C99">
        <w:rPr>
          <w:rFonts w:ascii="Times New Roman" w:eastAsia="Times New Roman" w:hAnsi="Times New Roman" w:cs="Times New Roman"/>
          <w:i/>
          <w:iCs/>
        </w:rPr>
        <w:t>Soft Drawdown Penalty</w:t>
      </w:r>
    </w:p>
    <w:p w14:paraId="1F3EB531" w14:textId="3E53F66C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DD</m:t>
              </m:r>
            </m:sub>
          </m:sSub>
          <m:r>
            <w:rPr>
              <w:rFonts w:ascii="Cambria Math" w:eastAsia="Times New Roman" w:hAnsi="Cambria Math" w:cs="Times New Roman"/>
            </w:rPr>
            <m:t>=τ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log</m:t>
          </m:r>
          <m:r>
            <w:rPr>
              <w:rFonts w:ascii="Cambria Math" w:eastAsia="Times New Roman" w:hAnsi="Cambria Math" w:cs="Times New Roman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exp</m:t>
              </m:r>
              <m:r>
                <w:rPr>
                  <w:rFonts w:ascii="Cambria Math" w:eastAsia="Times New Roman" w:hAnsi="Cambria Math" w:cs="Times New Roman"/>
                </w:rPr>
                <m:t>⁡(D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/</m:t>
          </m:r>
          <m:r>
            <w:rPr>
              <w:rFonts w:ascii="Cambria Math" w:eastAsia="Times New Roman" w:hAnsi="Cambria Math" w:cs="Times New Roman"/>
            </w:rPr>
            <m:t>τ)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43B9CD2D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6D5092D7">
          <v:rect id="_x0000_i1316" style="width:0;height:1.5pt" o:hralign="center" o:hrstd="t" o:hr="t" fillcolor="#a0a0a0" stroked="f"/>
        </w:pict>
      </w:r>
    </w:p>
    <w:p w14:paraId="4A010FEA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Lemma 7.1 (Smooth Upper Envelope)</w:t>
      </w:r>
    </w:p>
    <w:p w14:paraId="25CC524F" w14:textId="36215E28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max</m:t>
              </m:r>
              <m:r>
                <w:rPr>
                  <w:rFonts w:ascii="Cambria Math" w:eastAsia="Times New Roman" w:hAnsi="Cambria Math" w:cs="Times New Roman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</w:rPr>
                <m:t>t</m:t>
              </m:r>
            </m:lim>
          </m:limLow>
          <m:r>
            <w:rPr>
              <w:rFonts w:ascii="Cambria Math" w:eastAsia="Times New Roman" w:hAnsi="Cambria Math" w:cs="Times New Roman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DD</m:t>
              </m:r>
            </m:sub>
          </m:sSub>
          <m:r>
            <w:rPr>
              <w:rFonts w:ascii="Cambria Math" w:eastAsia="Times New Roman" w:hAnsi="Cambria Math" w:cs="Times New Roman"/>
            </w:rPr>
            <m:t>≤</m:t>
          </m:r>
          <m:limLow>
            <m:limLowPr>
              <m:ctrlPr>
                <w:rPr>
                  <w:rFonts w:ascii="Cambria Math" w:eastAsia="Times New Roman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max</m:t>
              </m:r>
              <m:r>
                <w:rPr>
                  <w:rFonts w:ascii="Cambria Math" w:eastAsia="Times New Roman" w:hAnsi="Cambria Math" w:cs="Times New Roman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</w:rPr>
                <m:t>t</m:t>
              </m:r>
            </m:lim>
          </m:limLow>
          <m:r>
            <w:rPr>
              <w:rFonts w:ascii="Cambria Math" w:eastAsia="Times New Roman" w:hAnsi="Cambria Math" w:cs="Times New Roman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+τ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log</m:t>
          </m:r>
          <m:r>
            <w:rPr>
              <w:rFonts w:ascii="Cambria Math" w:eastAsia="Times New Roman" w:hAnsi="Cambria Math" w:cs="Times New Roman"/>
            </w:rPr>
            <m:t>⁡T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2A7E736C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471E3FE9">
          <v:rect id="_x0000_i1317" style="width:0;height:1.5pt" o:hralign="center" o:hrstd="t" o:hr="t" fillcolor="#a0a0a0" stroked="f"/>
        </w:pict>
      </w:r>
    </w:p>
    <w:p w14:paraId="501EBE17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8. Composite Objective Geometry</w:t>
      </w:r>
    </w:p>
    <w:p w14:paraId="466F599D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b/>
          <w:bCs/>
        </w:rPr>
        <w:t>[Doc</w:t>
      </w:r>
      <w:r w:rsidRPr="002B3C99">
        <w:rPr>
          <w:rFonts w:ascii="Times New Roman" w:eastAsia="Times New Roman" w:hAnsi="Times New Roman" w:cs="Times New Roman"/>
          <w:b/>
          <w:bCs/>
        </w:rPr>
        <w:noBreakHyphen/>
        <w:t>1, pp.2–3]</w:t>
      </w:r>
    </w:p>
    <w:p w14:paraId="38CDAD09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8.1 (Composite Loss)</w:t>
      </w:r>
    </w:p>
    <w:p w14:paraId="4573F34F" w14:textId="392604F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.</m:t>
          </m:r>
          <m:r>
            <w:rPr>
              <w:rFonts w:ascii="Cambria Math" w:eastAsia="Times New Roman" w:hAnsi="Cambria Math" w:cs="Times New Roman"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0C49EAA7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6E86A695">
          <v:rect id="_x0000_i1318" style="width:0;height:1.5pt" o:hralign="center" o:hrstd="t" o:hr="t" fillcolor="#a0a0a0" stroked="f"/>
        </w:pict>
      </w:r>
    </w:p>
    <w:p w14:paraId="0ABBD10D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Proposition 8.1 (Risk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Aligned Descent)</w:t>
      </w:r>
    </w:p>
    <w:p w14:paraId="624FA508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If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</w:rPr>
              <m:t>DD</m:t>
            </m:r>
          </m:sub>
        </m:sSub>
        <m:r>
          <w:rPr>
            <w:rFonts w:ascii="Cambria Math" w:eastAsia="Times New Roman" w:hAnsi="Cambria Math" w:cs="Times New Roma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Sharpe</m:t>
            </m:r>
          </m:sub>
        </m:sSub>
        <m:r>
          <w:rPr>
            <w:rFonts w:ascii="Cambria Math" w:eastAsia="Times New Roman" w:hAnsi="Cambria Math" w:cs="Times New Roman"/>
          </w:rPr>
          <m:t>&gt;0</m:t>
        </m:r>
      </m:oMath>
      <w:r w:rsidRPr="002B3C99">
        <w:rPr>
          <w:rFonts w:ascii="Times New Roman" w:eastAsia="Times New Roman" w:hAnsi="Times New Roman" w:cs="Times New Roman"/>
        </w:rPr>
        <w:t xml:space="preserve">, then any stationary point of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</w:rPr>
              <m:t>total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penalizes high</w:t>
      </w:r>
      <w:r w:rsidRPr="002B3C99">
        <w:rPr>
          <w:rFonts w:ascii="Times New Roman" w:eastAsia="Times New Roman" w:hAnsi="Times New Roman" w:cs="Times New Roman"/>
        </w:rPr>
        <w:noBreakHyphen/>
        <w:t>drawdown, low</w:t>
      </w:r>
      <w:r w:rsidRPr="002B3C99">
        <w:rPr>
          <w:rFonts w:ascii="Times New Roman" w:eastAsia="Times New Roman" w:hAnsi="Times New Roman" w:cs="Times New Roman"/>
        </w:rPr>
        <w:noBreakHyphen/>
        <w:t>Sharpe solutions even when prediction error is minimal.</w:t>
      </w:r>
    </w:p>
    <w:p w14:paraId="247AFE6C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3EB19345">
          <v:rect id="_x0000_i1319" style="width:0;height:1.5pt" o:hralign="center" o:hrstd="t" o:hr="t" fillcolor="#a0a0a0" stroked="f"/>
        </w:pict>
      </w:r>
    </w:p>
    <w:p w14:paraId="1D7F38E6" w14:textId="77777777" w:rsidR="002B3C99" w:rsidRPr="002B3C99" w:rsidRDefault="002B3C99" w:rsidP="002B3C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C9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Chapter 9. Interpretation Theorem</w:t>
      </w:r>
    </w:p>
    <w:p w14:paraId="34B683DB" w14:textId="77777777" w:rsidR="002B3C99" w:rsidRPr="002B3C99" w:rsidRDefault="002B3C99" w:rsidP="002B3C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t>Theorem 9.1 (Signal</w:t>
      </w:r>
      <w:r w:rsidRPr="002B3C9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Sufficiency Regime)</w:t>
      </w:r>
    </w:p>
    <w:p w14:paraId="58ED3A28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>If</w:t>
      </w:r>
    </w:p>
    <w:p w14:paraId="1FDCE2F4" w14:textId="6F06985C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market</m:t>
              </m:r>
            </m:sub>
          </m:sSub>
          <m:r>
            <w:rPr>
              <w:rFonts w:ascii="Cambria Math" w:eastAsia="Times New Roman" w:hAnsi="Cambria Math" w:cs="Times New Roman"/>
            </w:rPr>
            <m:t>,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  <w:r w:rsidRPr="002B3C99">
        <w:rPr>
          <w:rFonts w:ascii="Times New Roman" w:eastAsia="Times New Roman" w:hAnsi="Times New Roman" w:cs="Times New Roman"/>
        </w:rPr>
        <w:fldChar w:fldCharType="begin"/>
      </w:r>
      <w:r w:rsidRPr="002B3C99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2B3C99">
        <w:rPr>
          <w:rFonts w:ascii="Times New Roman" w:eastAsia="Times New Roman" w:hAnsi="Times New Roman" w:cs="Times New Roman"/>
        </w:rPr>
        <w:fldChar w:fldCharType="separate"/>
      </w:r>
      <w:r w:rsidRPr="002B3C99">
        <w:rPr>
          <w:rFonts w:ascii="Times New Roman" w:eastAsia="Times New Roman" w:hAnsi="Times New Roman" w:cs="Times New Roman"/>
        </w:rPr>
        <w:fldChar w:fldCharType="end"/>
      </w:r>
    </w:p>
    <w:p w14:paraId="77FB7CFC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t xml:space="preserve">then expected strategy risk is dominated by </w:t>
      </w:r>
      <w:r w:rsidRPr="002B3C99">
        <w:rPr>
          <w:rFonts w:ascii="Times New Roman" w:eastAsia="Times New Roman" w:hAnsi="Times New Roman" w:cs="Times New Roman"/>
          <w:b/>
          <w:bCs/>
        </w:rPr>
        <w:t>structure, regime selection, and execution</w:t>
      </w:r>
      <w:r w:rsidRPr="002B3C99">
        <w:rPr>
          <w:rFonts w:ascii="Times New Roman" w:eastAsia="Times New Roman" w:hAnsi="Times New Roman" w:cs="Times New Roman"/>
        </w:rPr>
        <w:t>, not prediction error.</w:t>
      </w:r>
    </w:p>
    <w:p w14:paraId="05F6C14B" w14:textId="77777777" w:rsidR="002B3C99" w:rsidRPr="002B3C99" w:rsidRDefault="002B3C99" w:rsidP="002B3C99">
      <w:pPr>
        <w:spacing w:after="0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</w:rPr>
        <w:pict w14:anchorId="3D6BA2B2">
          <v:rect id="_x0000_i1320" style="width:0;height:1.5pt" o:hralign="center" o:hrstd="t" o:hr="t" fillcolor="#a0a0a0" stroked="f"/>
        </w:pict>
      </w:r>
    </w:p>
    <w:p w14:paraId="66620388" w14:textId="77777777" w:rsidR="002B3C99" w:rsidRPr="002B3C99" w:rsidRDefault="002B3C99" w:rsidP="002B3C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A — Master Symbol Index</w:t>
      </w:r>
    </w:p>
    <w:p w14:paraId="592E5577" w14:textId="77777777" w:rsidR="002B3C99" w:rsidRPr="002B3C99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3C99">
        <w:rPr>
          <w:rFonts w:ascii="Times New Roman" w:eastAsia="Times New Roman" w:hAnsi="Times New Roman" w:cs="Times New Roman"/>
          <w:i/>
          <w:iCs/>
        </w:rPr>
        <w:t>(Alphabetical; exhaustive)</w:t>
      </w:r>
    </w:p>
    <w:p w14:paraId="6191A6FF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A</m:t>
        </m:r>
      </m:oMath>
      <w:r w:rsidRPr="002B3C99">
        <w:rPr>
          <w:rFonts w:ascii="Times New Roman" w:eastAsia="Times New Roman" w:hAnsi="Times New Roman" w:cs="Times New Roman"/>
        </w:rPr>
        <w:t>: state transition matrix</w:t>
      </w:r>
    </w:p>
    <w:p w14:paraId="2BC06CA4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α</m:t>
        </m:r>
      </m:oMath>
      <w:r w:rsidRPr="002B3C99">
        <w:rPr>
          <w:rFonts w:ascii="Times New Roman" w:eastAsia="Times New Roman" w:hAnsi="Times New Roman" w:cs="Times New Roman"/>
        </w:rPr>
        <w:t>: return scaling constant</w:t>
      </w:r>
    </w:p>
    <w:p w14:paraId="1014878E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b</m:t>
        </m:r>
      </m:oMath>
      <w:r w:rsidRPr="002B3C99">
        <w:rPr>
          <w:rFonts w:ascii="Times New Roman" w:eastAsia="Times New Roman" w:hAnsi="Times New Roman" w:cs="Times New Roman"/>
        </w:rPr>
        <w:t>: bias</w:t>
      </w:r>
    </w:p>
    <w:p w14:paraId="7EA0F9FF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C</m:t>
        </m:r>
      </m:oMath>
      <w:r w:rsidRPr="002B3C99">
        <w:rPr>
          <w:rFonts w:ascii="Times New Roman" w:eastAsia="Times New Roman" w:hAnsi="Times New Roman" w:cs="Times New Roman"/>
        </w:rPr>
        <w:t>: output matrix</w:t>
      </w:r>
    </w:p>
    <w:p w14:paraId="00A39A4F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drawdown</w:t>
      </w:r>
    </w:p>
    <w:p w14:paraId="1F63871E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forecast error</w:t>
      </w:r>
    </w:p>
    <w:p w14:paraId="48434924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embedded state</w:t>
      </w:r>
    </w:p>
    <w:p w14:paraId="5859B4BE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latent state</w:t>
      </w:r>
    </w:p>
    <w:p w14:paraId="0477CA46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2B3C99">
        <w:rPr>
          <w:rFonts w:ascii="Times New Roman" w:eastAsia="Times New Roman" w:hAnsi="Times New Roman" w:cs="Times New Roman"/>
        </w:rPr>
        <w:t>: loss functional</w:t>
      </w:r>
    </w:p>
    <w:p w14:paraId="02978C77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cumulative PnL noise</w:t>
      </w:r>
    </w:p>
    <w:p w14:paraId="0AF46B14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cumulative return</w:t>
      </w:r>
    </w:p>
    <w:p w14:paraId="5DBC9A6F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log</w:t>
      </w:r>
      <w:r w:rsidRPr="002B3C99">
        <w:rPr>
          <w:rFonts w:ascii="Times New Roman" w:eastAsia="Times New Roman" w:hAnsi="Times New Roman" w:cs="Times New Roman"/>
        </w:rPr>
        <w:noBreakHyphen/>
        <w:t>return</w:t>
      </w:r>
    </w:p>
    <w:p w14:paraId="277D7FB0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asset price</w:t>
      </w:r>
    </w:p>
    <w:p w14:paraId="149858A9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</w:rPr>
              <m:t>e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forecast error scale</w:t>
      </w:r>
    </w:p>
    <w:p w14:paraId="338DF714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τ</m:t>
        </m:r>
      </m:oMath>
      <w:r w:rsidRPr="002B3C99">
        <w:rPr>
          <w:rFonts w:ascii="Times New Roman" w:eastAsia="Times New Roman" w:hAnsi="Times New Roman" w:cs="Times New Roman"/>
        </w:rPr>
        <w:t>: softmax temperature</w:t>
      </w:r>
    </w:p>
    <w:p w14:paraId="684C9022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input features</w:t>
      </w:r>
    </w:p>
    <w:p w14:paraId="5C424855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PnL noise</w:t>
      </w:r>
    </w:p>
    <w:p w14:paraId="75DDD8DD" w14:textId="77777777" w:rsidR="002B3C99" w:rsidRPr="002B3C99" w:rsidRDefault="002B3C99" w:rsidP="002B3C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net</m:t>
            </m:r>
          </m:sub>
        </m:sSub>
      </m:oMath>
      <w:r w:rsidRPr="002B3C99">
        <w:rPr>
          <w:rFonts w:ascii="Times New Roman" w:eastAsia="Times New Roman" w:hAnsi="Times New Roman" w:cs="Times New Roman"/>
        </w:rPr>
        <w:t>: net delta exposure</w:t>
      </w:r>
    </w:p>
    <w:p w14:paraId="7CA51095" w14:textId="33008332" w:rsidR="002B3C99" w:rsidRPr="00C47D21" w:rsidRDefault="002B3C99" w:rsidP="00C47D2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47D21">
        <w:rPr>
          <w:rFonts w:ascii="Times New Roman" w:eastAsia="Times New Roman" w:hAnsi="Times New Roman" w:cs="Times New Roman"/>
          <w:sz w:val="20"/>
          <w:szCs w:val="20"/>
        </w:rPr>
        <w:t xml:space="preserve">This monograph is now fully </w:t>
      </w:r>
      <w:r w:rsidRPr="00C47D21">
        <w:rPr>
          <w:rFonts w:ascii="Times New Roman" w:eastAsia="Times New Roman" w:hAnsi="Times New Roman" w:cs="Times New Roman"/>
          <w:b/>
          <w:bCs/>
          <w:sz w:val="20"/>
          <w:szCs w:val="20"/>
        </w:rPr>
        <w:t>cross</w:t>
      </w:r>
      <w:r w:rsidRPr="00C47D21">
        <w:rPr>
          <w:rFonts w:ascii="Times New Roman" w:eastAsia="Times New Roman" w:hAnsi="Times New Roman" w:cs="Times New Roman"/>
          <w:b/>
          <w:bCs/>
          <w:sz w:val="20"/>
          <w:szCs w:val="20"/>
        </w:rPr>
        <w:noBreakHyphen/>
        <w:t>referenced, paginated, and source</w:t>
      </w:r>
      <w:r w:rsidRPr="00C47D21">
        <w:rPr>
          <w:rFonts w:ascii="Times New Roman" w:eastAsia="Times New Roman" w:hAnsi="Times New Roman" w:cs="Times New Roman"/>
          <w:b/>
          <w:bCs/>
          <w:sz w:val="20"/>
          <w:szCs w:val="20"/>
        </w:rPr>
        <w:noBreakHyphen/>
        <w:t>traceable</w:t>
      </w:r>
      <w:r w:rsidRPr="00C47D21">
        <w:rPr>
          <w:rFonts w:ascii="Times New Roman" w:eastAsia="Times New Roman" w:hAnsi="Times New Roman" w:cs="Times New Roman"/>
          <w:sz w:val="20"/>
          <w:szCs w:val="20"/>
        </w:rPr>
        <w:t>. Every mathematical object can be mapped back to its originating document, page, and section, enabling auditability suitable for academic review, expert testimony, or institutional validation.</w:t>
      </w:r>
    </w:p>
    <w:p w14:paraId="1B56B038" w14:textId="65B69D3C" w:rsidR="00D50B5C" w:rsidRPr="00C47D21" w:rsidRDefault="002B3C99" w:rsidP="002B3C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47D21">
        <w:rPr>
          <w:rFonts w:ascii="Times New Roman" w:eastAsia="Times New Roman" w:hAnsi="Times New Roman" w:cs="Times New Roman"/>
          <w:sz w:val="20"/>
          <w:szCs w:val="20"/>
        </w:rPr>
        <w:t>This monograph establishes formal scaling laws and geometric structure for neural state</w:t>
      </w:r>
      <w:r w:rsidRPr="00C47D21">
        <w:rPr>
          <w:rFonts w:ascii="Times New Roman" w:eastAsia="Times New Roman" w:hAnsi="Times New Roman" w:cs="Times New Roman"/>
          <w:sz w:val="20"/>
          <w:szCs w:val="20"/>
        </w:rPr>
        <w:noBreakHyphen/>
        <w:t xml:space="preserve">space trading systems, placing </w:t>
      </w:r>
      <w:proofErr w:type="spellStart"/>
      <w:r w:rsidRPr="00C47D21">
        <w:rPr>
          <w:rFonts w:ascii="Times New Roman" w:eastAsia="Times New Roman" w:hAnsi="Times New Roman" w:cs="Times New Roman"/>
          <w:sz w:val="20"/>
          <w:szCs w:val="20"/>
        </w:rPr>
        <w:t>CondorBrain</w:t>
      </w:r>
      <w:proofErr w:type="spellEnd"/>
      <w:r w:rsidRPr="00C47D21">
        <w:rPr>
          <w:rFonts w:ascii="Times New Roman" w:eastAsia="Times New Roman" w:hAnsi="Times New Roman" w:cs="Times New Roman"/>
          <w:sz w:val="20"/>
          <w:szCs w:val="20"/>
        </w:rPr>
        <w:t xml:space="preserve"> within a mathematically analyzable regime suitable for academic scrutiny, institutional validation, and further theoretical extension.</w:t>
      </w:r>
      <w:bookmarkEnd w:id="0"/>
      <w:bookmarkEnd w:id="1"/>
    </w:p>
    <w:sectPr w:rsidR="00D50B5C" w:rsidRPr="00C47D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D833" w14:textId="77777777" w:rsidR="00533FF7" w:rsidRDefault="00533FF7" w:rsidP="00C47D21">
      <w:pPr>
        <w:spacing w:after="0"/>
      </w:pPr>
      <w:r>
        <w:separator/>
      </w:r>
    </w:p>
  </w:endnote>
  <w:endnote w:type="continuationSeparator" w:id="0">
    <w:p w14:paraId="1CE56A17" w14:textId="77777777" w:rsidR="00533FF7" w:rsidRDefault="00533FF7" w:rsidP="00C47D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77C9" w14:textId="77777777" w:rsidR="00C47D21" w:rsidRDefault="00C47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39873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9C5556" w14:textId="1ABA2313" w:rsidR="00C47D21" w:rsidRDefault="00C47D2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691370" w14:textId="77777777" w:rsidR="00C47D21" w:rsidRDefault="00C47D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C7BB" w14:textId="77777777" w:rsidR="00C47D21" w:rsidRDefault="00C47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34EB" w14:textId="77777777" w:rsidR="00533FF7" w:rsidRDefault="00533FF7" w:rsidP="00C47D21">
      <w:pPr>
        <w:spacing w:after="0"/>
      </w:pPr>
      <w:r>
        <w:separator/>
      </w:r>
    </w:p>
  </w:footnote>
  <w:footnote w:type="continuationSeparator" w:id="0">
    <w:p w14:paraId="0101FCEB" w14:textId="77777777" w:rsidR="00533FF7" w:rsidRDefault="00533FF7" w:rsidP="00C47D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618F" w14:textId="77777777" w:rsidR="00C47D21" w:rsidRDefault="00C47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528F" w14:textId="77777777" w:rsidR="00C47D21" w:rsidRDefault="00C47D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3A71" w14:textId="77777777" w:rsidR="00C47D21" w:rsidRDefault="00C47D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023F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5464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28555F"/>
    <w:multiLevelType w:val="multilevel"/>
    <w:tmpl w:val="E01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A2FFB"/>
    <w:multiLevelType w:val="multilevel"/>
    <w:tmpl w:val="F96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C333E"/>
    <w:multiLevelType w:val="multilevel"/>
    <w:tmpl w:val="29FA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36560"/>
    <w:multiLevelType w:val="multilevel"/>
    <w:tmpl w:val="C10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10D2D"/>
    <w:multiLevelType w:val="multilevel"/>
    <w:tmpl w:val="784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C19D9"/>
    <w:multiLevelType w:val="multilevel"/>
    <w:tmpl w:val="9E7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D6C18"/>
    <w:multiLevelType w:val="multilevel"/>
    <w:tmpl w:val="2A5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17FAC"/>
    <w:multiLevelType w:val="multilevel"/>
    <w:tmpl w:val="905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78EE"/>
    <w:multiLevelType w:val="multilevel"/>
    <w:tmpl w:val="18E4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903118">
    <w:abstractNumId w:val="0"/>
  </w:num>
  <w:num w:numId="2" w16cid:durableId="1152022252">
    <w:abstractNumId w:val="1"/>
  </w:num>
  <w:num w:numId="3" w16cid:durableId="2090996696">
    <w:abstractNumId w:val="3"/>
  </w:num>
  <w:num w:numId="4" w16cid:durableId="655111740">
    <w:abstractNumId w:val="7"/>
  </w:num>
  <w:num w:numId="5" w16cid:durableId="1041789063">
    <w:abstractNumId w:val="5"/>
  </w:num>
  <w:num w:numId="6" w16cid:durableId="21590121">
    <w:abstractNumId w:val="9"/>
  </w:num>
  <w:num w:numId="7" w16cid:durableId="598021950">
    <w:abstractNumId w:val="10"/>
  </w:num>
  <w:num w:numId="8" w16cid:durableId="1410536283">
    <w:abstractNumId w:val="8"/>
  </w:num>
  <w:num w:numId="9" w16cid:durableId="1479806218">
    <w:abstractNumId w:val="6"/>
  </w:num>
  <w:num w:numId="10" w16cid:durableId="2144342180">
    <w:abstractNumId w:val="4"/>
  </w:num>
  <w:num w:numId="11" w16cid:durableId="1309438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5C"/>
    <w:rsid w:val="002B3C99"/>
    <w:rsid w:val="00533FF7"/>
    <w:rsid w:val="00961F3D"/>
    <w:rsid w:val="009A582B"/>
    <w:rsid w:val="00C47D21"/>
    <w:rsid w:val="00D5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47A6"/>
  <w15:docId w15:val="{994434CC-F602-4551-AC62-5D4A39F9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C47D21"/>
    <w:rPr>
      <w:color w:val="666666"/>
    </w:rPr>
  </w:style>
  <w:style w:type="paragraph" w:styleId="Header">
    <w:name w:val="header"/>
    <w:basedOn w:val="Normal"/>
    <w:link w:val="HeaderChar"/>
    <w:rsid w:val="00C47D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47D21"/>
  </w:style>
  <w:style w:type="paragraph" w:styleId="Footer">
    <w:name w:val="footer"/>
    <w:basedOn w:val="Normal"/>
    <w:link w:val="FooterChar"/>
    <w:uiPriority w:val="99"/>
    <w:rsid w:val="00C47D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7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1196</Words>
  <Characters>6809</Characters>
  <Application>Microsoft Office Word</Application>
  <DocSecurity>0</DocSecurity>
  <Lines>206</Lines>
  <Paragraphs>153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FIGHT THE DEMONS</dc:creator>
  <cp:keywords/>
  <cp:lastModifiedBy>FIGHT THE DEMONS</cp:lastModifiedBy>
  <cp:revision>3</cp:revision>
  <dcterms:created xsi:type="dcterms:W3CDTF">2026-01-15T02:59:00Z</dcterms:created>
  <dcterms:modified xsi:type="dcterms:W3CDTF">2026-01-15T03:01:00Z</dcterms:modified>
</cp:coreProperties>
</file>