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FEB8" w14:textId="6E14962D" w:rsidR="00872F78" w:rsidRPr="00872F78" w:rsidRDefault="00872F78" w:rsidP="00872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Integrated Implementation Strategy: Synthesizing </w:t>
      </w:r>
      <w:proofErr w:type="spellStart"/>
      <w:r w:rsidRPr="00872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CondorBrain</w:t>
      </w:r>
      <w:proofErr w:type="spellEnd"/>
      <w:r w:rsidRPr="00872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Architectures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into the new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CondorIntelligence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™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Insitutional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-Grade Benchmarking System</w:t>
      </w:r>
    </w:p>
    <w:p w14:paraId="5981A532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Dr. T. Jerry Mahabub, Ph.D.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January 14, 2026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Unifying Baseline Validation, Theoretical Enhancements, and Institutional Engineering</w:t>
      </w:r>
    </w:p>
    <w:p w14:paraId="5DAB4C86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37831DB7">
          <v:rect id="_x0000_i1187" style="width:0;height:1.5pt" o:hralign="center" o:hrstd="t" o:hr="t" fillcolor="#a0a0a0" stroked="f"/>
        </w:pict>
      </w:r>
    </w:p>
    <w:p w14:paraId="0FA396F6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Executive Summary &amp; Document Relationship</w:t>
      </w:r>
    </w:p>
    <w:p w14:paraId="11E30C86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This guide serves as the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key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proofErr w:type="spellStart"/>
      <w:r w:rsidRPr="00872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CondorBrain</w:t>
      </w:r>
      <w:proofErr w:type="spellEnd"/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ecosystem, unifying three distinct phases of research and development into a single production pipeline:</w:t>
      </w:r>
    </w:p>
    <w:p w14:paraId="4E642A26" w14:textId="77777777" w:rsidR="00872F78" w:rsidRPr="00872F78" w:rsidRDefault="00872F78" w:rsidP="00872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(Report 1):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  <w:t>Establishes that the current Mamba-2 model operating on Huber loss achieves a prediction error of</w:t>
      </w:r>
    </w:p>
    <w:p w14:paraId="73B1D9DB" w14:textId="77777777" w:rsidR="00872F78" w:rsidRPr="00872F78" w:rsidRDefault="00872F78" w:rsidP="00872F7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2.8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bps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8FF8F89" w14:textId="77777777" w:rsidR="00872F78" w:rsidRPr="00872F78" w:rsidRDefault="00872F78" w:rsidP="00872F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proving that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signal fidelity is not the bottleneck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3240AD" w14:textId="77777777" w:rsidR="00872F78" w:rsidRPr="00872F78" w:rsidRDefault="00872F78" w:rsidP="00872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 (Report 2):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Provides the theoretical basis for integrating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Fuzzy Logic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Indicator Networks (TINs)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to handle regime uncertainty.</w:t>
      </w:r>
    </w:p>
    <w:p w14:paraId="55E818BE" w14:textId="77777777" w:rsidR="00872F78" w:rsidRPr="00872F78" w:rsidRDefault="00872F78" w:rsidP="00872F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(Report 3):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Defines the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Institutional-Grade architecture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, specifically:</w:t>
      </w:r>
    </w:p>
    <w:p w14:paraId="440A2071" w14:textId="77777777" w:rsidR="00872F78" w:rsidRPr="00872F78" w:rsidRDefault="00872F78" w:rsidP="00872F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Volatility-Gated Attention</w:t>
      </w:r>
    </w:p>
    <w:p w14:paraId="538B6CB6" w14:textId="77777777" w:rsidR="00872F78" w:rsidRPr="00872F78" w:rsidRDefault="00872F78" w:rsidP="00872F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Regime-Routed Mixture-of-Experts</w:t>
      </w:r>
    </w:p>
    <w:p w14:paraId="26D65DE8" w14:textId="77777777" w:rsidR="00872F78" w:rsidRPr="00872F78" w:rsidRDefault="00872F78" w:rsidP="00872F7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Composite Risk-Aligned Loss Functions</w:t>
      </w:r>
    </w:p>
    <w:p w14:paraId="08DD5451" w14:textId="77777777" w:rsidR="00872F78" w:rsidRPr="00872F78" w:rsidRDefault="00872F78" w:rsidP="00872F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required to convert signal fidelity into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realized Sharpe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F86265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3C17C056">
          <v:rect id="_x0000_i1188" style="width:0;height:1.5pt" o:hralign="center" o:hrstd="t" o:hr="t" fillcolor="#a0a0a0" stroked="f"/>
        </w:pict>
      </w:r>
    </w:p>
    <w:p w14:paraId="66BAECEB" w14:textId="77777777" w:rsidR="00872F78" w:rsidRDefault="00872F7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CE394A9" w14:textId="66730CB2" w:rsidR="00872F78" w:rsidRPr="00872F78" w:rsidRDefault="00872F78" w:rsidP="00872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Mathematical Core: From Signal Fidelity to Risk Alignment</w:t>
      </w:r>
    </w:p>
    <w:p w14:paraId="31CAD450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4D3FCE63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Shift the optimization objective from minimizing pointwise prediction error (solved in Report 1) to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maximizing risk-adjusted returns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, as defined in Report 3.</w:t>
      </w:r>
    </w:p>
    <w:p w14:paraId="23DD9730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763A6853">
          <v:rect id="_x0000_i1189" style="width:0;height:1.5pt" o:hralign="center" o:hrstd="t" o:hr="t" fillcolor="#a0a0a0" stroked="f"/>
        </w:pict>
      </w:r>
    </w:p>
    <w:p w14:paraId="06FDE382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The Pivot Logic</w:t>
      </w:r>
    </w:p>
    <w:p w14:paraId="550DA840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Report 1 derives that the residual forecast noise contributes approximately</w:t>
      </w:r>
    </w:p>
    <w:p w14:paraId="07FC77AB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$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0.0175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B879B7B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per 5-minute SPY bar.</w:t>
      </w:r>
    </w:p>
    <w:p w14:paraId="1C64BF03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Because prediction error is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non-binding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, further optimization of pointwise accuracy yields diminishing returns. As a result, the optimization objective must shift toward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risk alignment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, penalizing drawdown and turnover directly.</w:t>
      </w:r>
    </w:p>
    <w:p w14:paraId="60009D58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39C12420">
          <v:rect id="_x0000_i1190" style="width:0;height:1.5pt" o:hralign="center" o:hrstd="t" o:hr="t" fillcolor="#a0a0a0" stroked="f"/>
        </w:pict>
      </w:r>
    </w:p>
    <w:p w14:paraId="12A12F35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The Composite Loss Formulation</w:t>
      </w:r>
    </w:p>
    <w:p w14:paraId="4C9CCFDB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The standalone Huber loss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</m:sub>
        </m:sSub>
      </m:oMath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is replaced with a composite objective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total</m:t>
            </m:r>
          </m:sub>
        </m:sSub>
      </m:oMath>
      <w:r w:rsidRPr="00872F78">
        <w:rPr>
          <w:rFonts w:ascii="Times New Roman" w:eastAsia="Times New Roman" w:hAnsi="Times New Roman" w:cs="Times New Roman"/>
          <w:kern w:val="0"/>
          <w14:ligatures w14:val="none"/>
        </w:rPr>
        <w:t>that integrates predictive fidelity, directional correctness, risk adjustment, drawdown control, and turnover minimization:</w:t>
      </w:r>
    </w:p>
    <w:p w14:paraId="36DEE8F7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pred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Huber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dir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Direction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Sharpe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Risk-Adjusted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DD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Drawdown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b>
          </m:sSub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turn</m:t>
                      </m:r>
                    </m:sub>
                  </m:sSub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Slippage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09C0E7E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4193AFB9">
          <v:rect id="_x0000_i1191" style="width:0;height:1.5pt" o:hralign="center" o:hrstd="t" o:hr="t" fillcolor="#a0a0a0" stroked="f"/>
        </w:pict>
      </w:r>
    </w:p>
    <w:p w14:paraId="1DE4CB8C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Snippet (</w:t>
      </w:r>
      <w:proofErr w:type="spellStart"/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PyTorch</w:t>
      </w:r>
      <w:proofErr w:type="spellEnd"/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3EF120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composite_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model_weights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last_weights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943E9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lambdas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0.05</w:t>
      </w:r>
      <w:r>
        <w:rPr>
          <w:rFonts w:ascii="Consolas" w:hAnsi="Consolas" w:cs="Courier New"/>
          <w:color w:val="666600"/>
          <w:sz w:val="17"/>
          <w:szCs w:val="17"/>
        </w:rPr>
        <w:t>)):</w:t>
      </w:r>
    </w:p>
    <w:p w14:paraId="3331CD5F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1. Predictive Fidelity (Huber)</w:t>
      </w:r>
    </w:p>
    <w:p w14:paraId="18A076E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delta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</w:p>
    <w:p w14:paraId="5EFF2B87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error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</w:p>
    <w:p w14:paraId="7E35B42E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l_pred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where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delta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D4E3641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**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C844B07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delta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delta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A3F4FA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DF2968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2. Sharpe Proxy</w:t>
      </w:r>
    </w:p>
    <w:p w14:paraId="61446B06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returns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y_pred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sign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y_true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CAA2C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sigma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D30E06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l_sharpe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mu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sigma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1e-9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BCDC756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4E8D7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3. Soft Drawdown Penalty</w:t>
      </w:r>
    </w:p>
    <w:p w14:paraId="0A45353C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cum_ret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returns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cumsum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17E9F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peak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cummax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cum_ret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values</w:t>
      </w:r>
      <w:proofErr w:type="gramEnd"/>
    </w:p>
    <w:p w14:paraId="5C77277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peak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cum_ret</w:t>
      </w:r>
      <w:proofErr w:type="spellEnd"/>
    </w:p>
    <w:p w14:paraId="623189F8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l_dd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dim</w:t>
      </w:r>
      <w:r>
        <w:rPr>
          <w:rFonts w:ascii="Consolas" w:hAnsi="Consolas" w:cs="Courier New"/>
          <w:color w:val="666600"/>
          <w:sz w:val="17"/>
          <w:szCs w:val="17"/>
        </w:rPr>
        <w:t>=-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1e-9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186E076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5DE1E3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4. Turnover Penalty</w:t>
      </w:r>
    </w:p>
    <w:p w14:paraId="02AFA533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model_weights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last_weights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7613FF0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DEACAF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l_pred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lambdas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]*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l_sharpe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lambdas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]*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l_dd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lambdas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]*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l_turn</w:t>
      </w:r>
      <w:proofErr w:type="spellEnd"/>
    </w:p>
    <w:p w14:paraId="7193A5E4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74705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7ED7EB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59C92CB7">
          <v:rect id="_x0000_i1192" style="width:0;height:1.5pt" o:hralign="center" o:hrstd="t" o:hr="t" fillcolor="#a0a0a0" stroked="f"/>
        </w:pict>
      </w:r>
    </w:p>
    <w:p w14:paraId="3A2E241E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Architecture: Mamba-2 Hybridization</w:t>
      </w:r>
    </w:p>
    <w:p w14:paraId="172C7342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1F4E7515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Enhance the Mamba-2 backbone with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Volatility-Gated Attention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to handle </w:t>
      </w:r>
      <w:r w:rsidRPr="00872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gamma shocks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while preserving linear-time inference.</w:t>
      </w:r>
    </w:p>
    <w:p w14:paraId="1FEE72C2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15C54086">
          <v:rect id="_x0000_i1193" style="width:0;height:1.5pt" o:hralign="center" o:hrstd="t" o:hr="t" fillcolor="#a0a0a0" stroked="f"/>
        </w:pict>
      </w:r>
    </w:p>
    <w:p w14:paraId="19B544EF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The Volatility Gate</w:t>
      </w:r>
    </w:p>
    <w:p w14:paraId="5A22511A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Standard attention mechanisms are computationally expensive and unnecessary during stable regimes. Volatility-Gated Attention is therefore injected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at layers 8, 16, and 24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, activating global context selectively based on the volatility regime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b>
        </m:sSub>
      </m:oMath>
      <w:r w:rsidRPr="00872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E28D6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Definition</w:t>
      </w:r>
    </w:p>
    <w:p w14:paraId="75C18423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=σ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⊤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Attention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BF73039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4B491890">
          <v:rect id="_x0000_i1194" style="width:0;height:1.5pt" o:hralign="center" o:hrstd="t" o:hr="t" fillcolor="#a0a0a0" stroked="f"/>
        </w:pict>
      </w:r>
    </w:p>
    <w:p w14:paraId="7501B7C5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Snippet</w:t>
      </w:r>
    </w:p>
    <w:p w14:paraId="5E87861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VolGatedAttn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Module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030E28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n_heads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E6FF0CC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759713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attn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MultiheadAttention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n_heads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batch_first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31B35B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gate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Sequential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EBA82C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4),</w:t>
      </w:r>
    </w:p>
    <w:p w14:paraId="5437C22A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SiLU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7A20B62C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4, 1),</w:t>
      </w:r>
    </w:p>
    <w:p w14:paraId="53F9ABEC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Sigmoid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C4552FA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7A8D1D47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A9328B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forward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004BAD1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E shape: (Batch, Seq,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D_Model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507F9FDE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gate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[:,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:]).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unsqueeze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24ED7A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attn_out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attn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need_weights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B74340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g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attn_out</w:t>
      </w:r>
      <w:proofErr w:type="spellEnd"/>
    </w:p>
    <w:p w14:paraId="2B9BD79A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56210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39C0D4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4E403BE1">
          <v:rect id="_x0000_i1195" style="width:0;height:1.5pt" o:hralign="center" o:hrstd="t" o:hr="t" fillcolor="#a0a0a0" stroked="f"/>
        </w:pict>
      </w:r>
    </w:p>
    <w:p w14:paraId="0EA76B25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Neuro-Fuzzy Safety Overlay</w:t>
      </w:r>
    </w:p>
    <w:p w14:paraId="47C63405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A differentiable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Neuro-Fuzzy Policy Shaper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constrains neural outputs using rule-based safety logic. This layer enforces institutional risk discipline, for example:</w:t>
      </w:r>
    </w:p>
    <w:p w14:paraId="19C68BE5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implied volatility rank exceeds a critical threshold, cap Vega exposure regardless of neural confidence.</w:t>
      </w:r>
    </w:p>
    <w:p w14:paraId="70F18F21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11461257">
          <v:rect id="_x0000_i1196" style="width:0;height:1.5pt" o:hralign="center" o:hrstd="t" o:hr="t" fillcolor="#a0a0a0" stroked="f"/>
        </w:pict>
      </w:r>
    </w:p>
    <w:p w14:paraId="7E0CD501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High-Performance Engineering (A100 / H100)</w:t>
      </w:r>
    </w:p>
    <w:p w14:paraId="4D54767B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C5234E9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Ensure the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32-layer, 1024-dimensional </w:t>
      </w:r>
      <w:proofErr w:type="spellStart"/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CondorBrain</w:t>
      </w:r>
      <w:proofErr w:type="spellEnd"/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fits GPU memory and executes in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sub-millisecond time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C49B86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483A40C9">
          <v:rect id="_x0000_i1197" style="width:0;height:1.5pt" o:hralign="center" o:hrstd="t" o:hr="t" fillcolor="#a0a0a0" stroked="f"/>
        </w:pict>
      </w:r>
    </w:p>
    <w:p w14:paraId="698F2517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Training Stack Optimization</w:t>
      </w:r>
    </w:p>
    <w:p w14:paraId="338ED326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Memory pressure is mitigated through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accumulation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activation checkpointing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, preventing out-of-memory failures during long-sequence training.</w:t>
      </w:r>
    </w:p>
    <w:p w14:paraId="094732F2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Environment Configuration</w:t>
      </w:r>
    </w:p>
    <w:p w14:paraId="0B7A3519" w14:textId="77777777" w:rsidR="00872F78" w:rsidRPr="00872F78" w:rsidRDefault="00872F78" w:rsidP="00872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2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PYTORCH_CUDA_ALLOC_CONF=expandable_</w:t>
      </w:r>
      <w:proofErr w:type="gramStart"/>
      <w:r w:rsidRPr="00872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segments:True</w:t>
      </w:r>
      <w:proofErr w:type="gramEnd"/>
      <w:r w:rsidRPr="00872F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,max_split_size_mb:512</w:t>
      </w:r>
    </w:p>
    <w:p w14:paraId="6A53C8FC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7DD44D29">
          <v:rect id="_x0000_i1198" style="width:0;height:1.5pt" o:hralign="center" o:hrstd="t" o:hr="t" fillcolor="#a0a0a0" stroked="f"/>
        </w:pict>
      </w:r>
    </w:p>
    <w:p w14:paraId="2B5261A3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CUDA Graphs for Inference</w:t>
      </w:r>
    </w:p>
    <w:p w14:paraId="127867E2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>To eliminate Python overhead during live inference, the execution path is captured using CUDA graphs:</w:t>
      </w:r>
    </w:p>
    <w:p w14:paraId="1385A910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CUDAGraphRunner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B373C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static_batch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46E40A9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</w:p>
    <w:p w14:paraId="54B36E48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_input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static_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batch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clone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9AA6AA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CUDAGraph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F8677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1A5A09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Warmup</w:t>
      </w:r>
    </w:p>
    <w:p w14:paraId="3A0F7ED9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F821887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model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F4011C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7DB51A1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Capture</w:t>
      </w:r>
    </w:p>
    <w:p w14:paraId="33D7921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torch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cuda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00D297D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_output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_input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FDA123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1B97F3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predict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1A1361E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input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copy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x_new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A60C05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graph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replay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27DD9A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static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_output</w:t>
      </w:r>
      <w:proofErr w:type="spellEnd"/>
    </w:p>
    <w:p w14:paraId="7D6D4937" w14:textId="77777777" w:rsidR="00872F78" w:rsidRDefault="00872F7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71549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A43557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54A11E8C">
          <v:rect id="_x0000_i1199" style="width:0;height:1.5pt" o:hralign="center" o:hrstd="t" o:hr="t" fillcolor="#a0a0a0" stroked="f"/>
        </w:pict>
      </w:r>
    </w:p>
    <w:p w14:paraId="0D9F366E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Conclusion &amp; Action Plan</w:t>
      </w:r>
    </w:p>
    <w:p w14:paraId="2FF7DC0D" w14:textId="77777777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To upgrade </w:t>
      </w:r>
      <w:proofErr w:type="spellStart"/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CondorBrain</w:t>
      </w:r>
      <w:proofErr w:type="spellEnd"/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872F7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Institutional-Grade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status, follow this integration sequence:</w:t>
      </w:r>
    </w:p>
    <w:p w14:paraId="52C19A24" w14:textId="77777777" w:rsidR="00872F78" w:rsidRPr="00872F78" w:rsidRDefault="00872F78" w:rsidP="00872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Data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Ensure input features match the institutional schema (including order-book imbalance and </w:t>
      </w:r>
      <w:proofErr w:type="spellStart"/>
      <w:r w:rsidRPr="00872F78">
        <w:rPr>
          <w:rFonts w:ascii="Times New Roman" w:eastAsia="Times New Roman" w:hAnsi="Times New Roman" w:cs="Times New Roman"/>
          <w:kern w:val="0"/>
          <w14:ligatures w14:val="none"/>
        </w:rPr>
        <w:t>microprice</w:t>
      </w:r>
      <w:proofErr w:type="spellEnd"/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features).</w:t>
      </w:r>
    </w:p>
    <w:p w14:paraId="6843327D" w14:textId="77777777" w:rsidR="00872F78" w:rsidRPr="00872F78" w:rsidRDefault="00872F78" w:rsidP="00872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Model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Insert Volatility-Gated Attention blocks at layers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8, 16, and 24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of the Mamba-2 backbone.</w:t>
      </w:r>
    </w:p>
    <w:p w14:paraId="74F4D653" w14:textId="77777777" w:rsidR="00872F78" w:rsidRPr="00872F78" w:rsidRDefault="00872F78" w:rsidP="00872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 Training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  <w:t>Replace pure Huber loss with the composite risk-aligned loss, using smooth drawdown penalization.</w:t>
      </w:r>
    </w:p>
    <w:p w14:paraId="6FCF2416" w14:textId="77777777" w:rsidR="00872F78" w:rsidRPr="00872F78" w:rsidRDefault="00872F78" w:rsidP="00872F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br/>
        <w:t>Wrap the finalized model in a CUDA-graph execution harness for deterministic, low-latency inference.</w:t>
      </w:r>
    </w:p>
    <w:p w14:paraId="78A85C98" w14:textId="77777777" w:rsidR="00872F78" w:rsidRPr="00872F78" w:rsidRDefault="00872F78" w:rsidP="00872F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pict w14:anchorId="441DB60E">
          <v:rect id="_x0000_i1200" style="width:0;height:1.5pt" o:hralign="center" o:hrstd="t" o:hr="t" fillcolor="#a0a0a0" stroked="f"/>
        </w:pict>
      </w:r>
    </w:p>
    <w:p w14:paraId="6DF5361E" w14:textId="77777777" w:rsidR="00872F78" w:rsidRPr="00872F78" w:rsidRDefault="00872F78" w:rsidP="00872F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F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Statement</w:t>
      </w:r>
    </w:p>
    <w:p w14:paraId="732A0353" w14:textId="6154836E" w:rsidR="00872F78" w:rsidRPr="00872F78" w:rsidRDefault="00872F78" w:rsidP="00872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This synthesis ensures that the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stability established during baseline validation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directly supports the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risk-aligned and execution-aware architecture</w:t>
      </w:r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, completing the </w:t>
      </w:r>
      <w:proofErr w:type="spellStart"/>
      <w:r w:rsidRPr="00872F7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872F78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from signal-accurate predictor to </w:t>
      </w:r>
      <w:r w:rsidRPr="00872F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institutional-grade trading intelligence system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2F78">
        <w:rPr>
          <w:rFonts w:ascii="Times New Roman" w:eastAsia="Times New Roman" w:hAnsi="Times New Roman" w:cs="Times New Roman"/>
          <w:b/>
          <w:bCs/>
          <w:color w:val="004F88"/>
          <w:kern w:val="0"/>
          <w:sz w:val="28"/>
          <w:szCs w:val="28"/>
          <w14:ligatures w14:val="none"/>
        </w:rPr>
        <w:br/>
      </w:r>
      <w:proofErr w:type="spellStart"/>
      <w:r w:rsidRPr="00872F78">
        <w:rPr>
          <w:rFonts w:ascii="Times New Roman" w:eastAsia="Times New Roman" w:hAnsi="Times New Roman" w:cs="Times New Roman"/>
          <w:b/>
          <w:bCs/>
          <w:color w:val="004F88"/>
          <w:kern w:val="0"/>
          <w:sz w:val="28"/>
          <w:szCs w:val="28"/>
          <w14:ligatures w14:val="none"/>
        </w:rPr>
        <w:t>CondorIntelligence</w:t>
      </w:r>
      <w:proofErr w:type="spellEnd"/>
      <w:r w:rsidRPr="00872F78">
        <w:rPr>
          <w:rFonts w:ascii="Times New Roman" w:eastAsia="Times New Roman" w:hAnsi="Times New Roman" w:cs="Times New Roman"/>
          <w:b/>
          <w:bCs/>
          <w:color w:val="004F88"/>
          <w:kern w:val="0"/>
          <w:sz w:val="28"/>
          <w:szCs w:val="28"/>
          <w14:ligatures w14:val="none"/>
        </w:rPr>
        <w:t>™</w:t>
      </w:r>
    </w:p>
    <w:p w14:paraId="7B1D9FA9" w14:textId="1F453649" w:rsidR="00D05C37" w:rsidRPr="00872F78" w:rsidRDefault="00D05C37" w:rsidP="00872F78"/>
    <w:sectPr w:rsidR="00D05C37" w:rsidRPr="00872F7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019FD" w14:textId="77777777" w:rsidR="00F164D2" w:rsidRDefault="00F164D2" w:rsidP="00872F78">
      <w:pPr>
        <w:spacing w:after="0" w:line="240" w:lineRule="auto"/>
      </w:pPr>
      <w:r>
        <w:separator/>
      </w:r>
    </w:p>
  </w:endnote>
  <w:endnote w:type="continuationSeparator" w:id="0">
    <w:p w14:paraId="0DF8676C" w14:textId="77777777" w:rsidR="00F164D2" w:rsidRDefault="00F164D2" w:rsidP="00872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14183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85DABE" w14:textId="67F83C5F" w:rsidR="00872F78" w:rsidRDefault="00872F7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14, 2026</w:t>
        </w:r>
      </w:p>
    </w:sdtContent>
  </w:sdt>
  <w:p w14:paraId="37CA95D9" w14:textId="77777777" w:rsidR="00872F78" w:rsidRDefault="00872F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B7D7" w14:textId="77777777" w:rsidR="00F164D2" w:rsidRDefault="00F164D2" w:rsidP="00872F78">
      <w:pPr>
        <w:spacing w:after="0" w:line="240" w:lineRule="auto"/>
      </w:pPr>
      <w:r>
        <w:separator/>
      </w:r>
    </w:p>
  </w:footnote>
  <w:footnote w:type="continuationSeparator" w:id="0">
    <w:p w14:paraId="4042D04F" w14:textId="77777777" w:rsidR="00F164D2" w:rsidRDefault="00F164D2" w:rsidP="00872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7926" w14:textId="78041CF4" w:rsidR="00872F78" w:rsidRDefault="00872F78">
    <w:pPr>
      <w:pStyle w:val="Header"/>
      <w:rPr>
        <w:sz w:val="20"/>
        <w:szCs w:val="20"/>
      </w:rPr>
    </w:pPr>
    <w:r w:rsidRPr="00872F78">
      <w:rPr>
        <w:sz w:val="20"/>
        <w:szCs w:val="20"/>
      </w:rPr>
      <w:t>© 2026 by T. Jerry Mahabub</w:t>
    </w:r>
    <w:r w:rsidRPr="00872F78">
      <w:rPr>
        <w:sz w:val="20"/>
        <w:szCs w:val="20"/>
      </w:rPr>
      <w:tab/>
    </w:r>
    <w:r w:rsidRPr="00872F78">
      <w:rPr>
        <w:b/>
        <w:bCs/>
        <w:color w:val="EE0000"/>
        <w:sz w:val="20"/>
        <w:szCs w:val="20"/>
      </w:rPr>
      <w:t>Confidential</w:t>
    </w:r>
    <w:r w:rsidRPr="00872F78">
      <w:rPr>
        <w:sz w:val="20"/>
        <w:szCs w:val="20"/>
      </w:rPr>
      <w:tab/>
      <w:t>Author: Dr. T. Jerry Mahabub, Ph.D.</w:t>
    </w:r>
  </w:p>
  <w:p w14:paraId="19AD84A0" w14:textId="71225423" w:rsidR="00872F78" w:rsidRPr="00872F78" w:rsidRDefault="00872F78">
    <w:pPr>
      <w:pStyle w:val="Header"/>
      <w:rPr>
        <w:sz w:val="18"/>
        <w:szCs w:val="18"/>
      </w:rPr>
    </w:pPr>
    <w:r w:rsidRPr="00872F78">
      <w:rPr>
        <w:sz w:val="18"/>
        <w:szCs w:val="18"/>
      </w:rPr>
      <w:t xml:space="preserve">All rights </w:t>
    </w:r>
    <w:proofErr w:type="spellStart"/>
    <w:r w:rsidRPr="00872F78">
      <w:rPr>
        <w:sz w:val="18"/>
        <w:szCs w:val="18"/>
      </w:rPr>
      <w:t>reseved</w:t>
    </w:r>
    <w:proofErr w:type="spellEnd"/>
    <w:r w:rsidRPr="00872F78">
      <w:rPr>
        <w:sz w:val="18"/>
        <w:szCs w:val="18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D61"/>
    <w:multiLevelType w:val="multilevel"/>
    <w:tmpl w:val="4E50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417B"/>
    <w:multiLevelType w:val="multilevel"/>
    <w:tmpl w:val="8490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81179"/>
    <w:multiLevelType w:val="multilevel"/>
    <w:tmpl w:val="060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61995"/>
    <w:multiLevelType w:val="multilevel"/>
    <w:tmpl w:val="52E0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7264C"/>
    <w:multiLevelType w:val="multilevel"/>
    <w:tmpl w:val="B19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C1F69"/>
    <w:multiLevelType w:val="multilevel"/>
    <w:tmpl w:val="5BB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06842"/>
    <w:multiLevelType w:val="multilevel"/>
    <w:tmpl w:val="D1C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4515E"/>
    <w:multiLevelType w:val="multilevel"/>
    <w:tmpl w:val="9D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B3B4D"/>
    <w:multiLevelType w:val="multilevel"/>
    <w:tmpl w:val="55F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A32FC"/>
    <w:multiLevelType w:val="multilevel"/>
    <w:tmpl w:val="750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30A6D"/>
    <w:multiLevelType w:val="multilevel"/>
    <w:tmpl w:val="72A6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0C28BC"/>
    <w:multiLevelType w:val="multilevel"/>
    <w:tmpl w:val="E8C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518DD"/>
    <w:multiLevelType w:val="multilevel"/>
    <w:tmpl w:val="F49E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C1495"/>
    <w:multiLevelType w:val="multilevel"/>
    <w:tmpl w:val="7870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3A3A87"/>
    <w:multiLevelType w:val="multilevel"/>
    <w:tmpl w:val="364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667B7"/>
    <w:multiLevelType w:val="multilevel"/>
    <w:tmpl w:val="2B48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5D2E32"/>
    <w:multiLevelType w:val="multilevel"/>
    <w:tmpl w:val="F85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00E67"/>
    <w:multiLevelType w:val="multilevel"/>
    <w:tmpl w:val="67E6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E13924"/>
    <w:multiLevelType w:val="multilevel"/>
    <w:tmpl w:val="CCCA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6830AF"/>
    <w:multiLevelType w:val="multilevel"/>
    <w:tmpl w:val="A850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52400">
    <w:abstractNumId w:val="6"/>
  </w:num>
  <w:num w:numId="2" w16cid:durableId="1524786537">
    <w:abstractNumId w:val="15"/>
  </w:num>
  <w:num w:numId="3" w16cid:durableId="1857696303">
    <w:abstractNumId w:val="7"/>
  </w:num>
  <w:num w:numId="4" w16cid:durableId="243805955">
    <w:abstractNumId w:val="16"/>
  </w:num>
  <w:num w:numId="5" w16cid:durableId="514928826">
    <w:abstractNumId w:val="8"/>
  </w:num>
  <w:num w:numId="6" w16cid:durableId="567886714">
    <w:abstractNumId w:val="2"/>
  </w:num>
  <w:num w:numId="7" w16cid:durableId="1216964296">
    <w:abstractNumId w:val="14"/>
  </w:num>
  <w:num w:numId="8" w16cid:durableId="821502066">
    <w:abstractNumId w:val="13"/>
  </w:num>
  <w:num w:numId="9" w16cid:durableId="1852722954">
    <w:abstractNumId w:val="3"/>
  </w:num>
  <w:num w:numId="10" w16cid:durableId="714277679">
    <w:abstractNumId w:val="17"/>
  </w:num>
  <w:num w:numId="11" w16cid:durableId="157695912">
    <w:abstractNumId w:val="4"/>
  </w:num>
  <w:num w:numId="12" w16cid:durableId="1519273493">
    <w:abstractNumId w:val="11"/>
  </w:num>
  <w:num w:numId="13" w16cid:durableId="5834483">
    <w:abstractNumId w:val="10"/>
  </w:num>
  <w:num w:numId="14" w16cid:durableId="1992900758">
    <w:abstractNumId w:val="9"/>
  </w:num>
  <w:num w:numId="15" w16cid:durableId="1535995541">
    <w:abstractNumId w:val="12"/>
  </w:num>
  <w:num w:numId="16" w16cid:durableId="1959332088">
    <w:abstractNumId w:val="1"/>
  </w:num>
  <w:num w:numId="17" w16cid:durableId="219481598">
    <w:abstractNumId w:val="0"/>
  </w:num>
  <w:num w:numId="18" w16cid:durableId="1009064051">
    <w:abstractNumId w:val="18"/>
  </w:num>
  <w:num w:numId="19" w16cid:durableId="1475562308">
    <w:abstractNumId w:val="5"/>
  </w:num>
  <w:num w:numId="20" w16cid:durableId="13424697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37"/>
    <w:rsid w:val="0018189D"/>
    <w:rsid w:val="00872F78"/>
    <w:rsid w:val="009F4F5C"/>
    <w:rsid w:val="00D05C37"/>
    <w:rsid w:val="00D90D8F"/>
    <w:rsid w:val="00F1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E162C"/>
  <w15:chartTrackingRefBased/>
  <w15:docId w15:val="{5D9E0889-DE5F-4E51-A2FB-99EE9588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F5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2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78"/>
  </w:style>
  <w:style w:type="paragraph" w:styleId="Footer">
    <w:name w:val="footer"/>
    <w:basedOn w:val="Normal"/>
    <w:link w:val="FooterChar"/>
    <w:uiPriority w:val="99"/>
    <w:unhideWhenUsed/>
    <w:rsid w:val="00872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5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7E4F7CD-B2D8-4BA4-BF0F-89CA09141915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</TotalTime>
  <Pages>5</Pages>
  <Words>1026</Words>
  <Characters>5790</Characters>
  <Application>Microsoft Office Word</Application>
  <DocSecurity>0</DocSecurity>
  <Lines>152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1</cp:revision>
  <dcterms:created xsi:type="dcterms:W3CDTF">2026-01-14T02:01:00Z</dcterms:created>
  <dcterms:modified xsi:type="dcterms:W3CDTF">2026-01-15T01:38:00Z</dcterms:modified>
</cp:coreProperties>
</file>