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99F8" w14:textId="42040BC9" w:rsidR="00110B52" w:rsidRDefault="00000000">
      <w:pPr>
        <w:pStyle w:val="Heading1"/>
      </w:pPr>
      <w:r>
        <w:t xml:space="preserve">CondorBrain ↔ Gaussian Stack Alignment Report (DevOps </w:t>
      </w:r>
      <w:r w:rsidR="00E61D06">
        <w:t>Internal</w:t>
      </w:r>
      <w:r>
        <w:t>)</w:t>
      </w:r>
    </w:p>
    <w:p w14:paraId="61388EF7" w14:textId="77777777" w:rsidR="00110B52" w:rsidRDefault="00000000">
      <w:pPr>
        <w:pStyle w:val="Heading2"/>
      </w:pPr>
      <w:r>
        <w:t>Purpose &amp; Audience</w:t>
      </w:r>
    </w:p>
    <w:p w14:paraId="51D18BB2" w14:textId="6A19AFD9" w:rsidR="00110B52" w:rsidRDefault="00000000">
      <w:r>
        <w:t xml:space="preserve">This document is intended for the internal DevOps and Gaussian-side engineering teams. It serves as a single source of truth describing the current state of the </w:t>
      </w:r>
      <w:proofErr w:type="spellStart"/>
      <w:r>
        <w:t>CondorBrain</w:t>
      </w:r>
      <w:proofErr w:type="spellEnd"/>
      <w:r w:rsidR="00E61D06">
        <w:t>™</w:t>
      </w:r>
      <w:r>
        <w:t xml:space="preserve"> /</w:t>
      </w:r>
      <w:r w:rsidR="00E61D06">
        <w:t xml:space="preserve"> </w:t>
      </w:r>
      <w:proofErr w:type="spellStart"/>
      <w:r w:rsidR="00E61D06">
        <w:t>CondorIntelligence</w:t>
      </w:r>
      <w:proofErr w:type="spellEnd"/>
      <w:r w:rsidR="00E61D06">
        <w:t>™ /</w:t>
      </w:r>
      <w:r>
        <w:t xml:space="preserve"> Quantor-</w:t>
      </w:r>
      <w:proofErr w:type="spellStart"/>
      <w:r>
        <w:t>MTFuzz</w:t>
      </w:r>
      <w:proofErr w:type="spellEnd"/>
      <w:r w:rsidR="00E61D06">
        <w:t>™</w:t>
      </w:r>
      <w:r>
        <w:t xml:space="preserve"> system, the remaining critical-path work required for live trading, and how this system should be used as the benchmarking and integration reference for the Gaussian stack.</w:t>
      </w:r>
    </w:p>
    <w:p w14:paraId="6EE91011" w14:textId="77777777" w:rsidR="00110B52" w:rsidRDefault="00000000">
      <w:pPr>
        <w:pStyle w:val="Heading2"/>
      </w:pPr>
      <w:r>
        <w:t>Executive Snapshot (TL;DR for DevOps)</w:t>
      </w:r>
    </w:p>
    <w:p w14:paraId="7E1A454C" w14:textId="77777777" w:rsidR="00110B52" w:rsidRDefault="00000000">
      <w:r>
        <w:t>- Data integrity, lag alignment, and risk controls are COMPLETE and production-grade.</w:t>
      </w:r>
      <w:r>
        <w:br/>
        <w:t>- Remaining work is deterministic engineering and validation (no research risk).</w:t>
      </w:r>
      <w:r>
        <w:br/>
        <w:t>- CondorBrain defines the execution, risk, and validation baseline the Gaussian stack should align against.</w:t>
      </w:r>
      <w:r>
        <w:br/>
        <w:t>- Live trading is gated by orchestration + end-to-end validation, not model quality.</w:t>
      </w:r>
    </w:p>
    <w:p w14:paraId="50E16ED1" w14:textId="77777777" w:rsidR="00110B52" w:rsidRDefault="00000000">
      <w:pPr>
        <w:pStyle w:val="Heading2"/>
      </w:pPr>
      <w:r>
        <w:t>System Readiness Matrix</w:t>
      </w:r>
    </w:p>
    <w:p w14:paraId="73652BA7" w14:textId="77777777" w:rsidR="00110B52" w:rsidRDefault="00000000">
      <w:r>
        <w:t>✔ COMPLETE: DataFactory, lag-aware alignment, analytics primitives, FIS logic, risk layer</w:t>
      </w:r>
      <w:r>
        <w:br/>
        <w:t>⚠ PARTIAL: Strategy–analytics fusion, FIS integration tests</w:t>
      </w:r>
      <w:r>
        <w:br/>
        <w:t>❌ BLOCKER: Full TradingEngine orchestration, trade routing, E2E tests</w:t>
      </w:r>
      <w:r>
        <w:br/>
      </w:r>
    </w:p>
    <w:p w14:paraId="0B489CCF" w14:textId="77777777" w:rsidR="00110B52" w:rsidRDefault="00000000">
      <w:pPr>
        <w:pStyle w:val="Heading2"/>
      </w:pPr>
      <w:r>
        <w:t>Dependency DAG (Phase → Task → Live)</w:t>
      </w:r>
    </w:p>
    <w:p w14:paraId="7BB45D7B" w14:textId="77777777" w:rsidR="00110B52" w:rsidRDefault="00000000">
      <w:r>
        <w:t>Stages 0–2 (Safety, Realism, Strategy Depth)</w:t>
      </w:r>
      <w:r>
        <w:br/>
        <w:t xml:space="preserve">  → Phase 1 (DTOs &amp; Analytics)</w:t>
      </w:r>
      <w:r>
        <w:br/>
        <w:t xml:space="preserve">  → Phase 2 / 2.5 (Data Pipeline + Lag Alignment)</w:t>
      </w:r>
      <w:r>
        <w:br/>
        <w:t xml:space="preserve">  → Phase 3 (Strategy + Analytics Integration) ❌</w:t>
      </w:r>
      <w:r>
        <w:br/>
        <w:t xml:space="preserve">  → Phase 4 (FIS Tests) ❌</w:t>
      </w:r>
      <w:r>
        <w:br/>
        <w:t xml:space="preserve">  → Phase 5 (Risk Layer) ✔</w:t>
      </w:r>
      <w:r>
        <w:br/>
        <w:t xml:space="preserve">  → Phase 6 (Full Orchestration) ❌</w:t>
      </w:r>
      <w:r>
        <w:br/>
        <w:t xml:space="preserve">  → Phase 7 (E2E Validation) ❌</w:t>
      </w:r>
      <w:r>
        <w:br/>
        <w:t xml:space="preserve">  → Paper Trading</w:t>
      </w:r>
      <w:r>
        <w:br/>
        <w:t xml:space="preserve">  → Live Trading</w:t>
      </w:r>
    </w:p>
    <w:p w14:paraId="51731EEF" w14:textId="77777777" w:rsidR="00110B52" w:rsidRDefault="00000000">
      <w:pPr>
        <w:pStyle w:val="Heading2"/>
      </w:pPr>
      <w:r>
        <w:t>Go / No-Go Gate (Authoritative)</w:t>
      </w:r>
    </w:p>
    <w:p w14:paraId="48769C5A" w14:textId="77777777" w:rsidR="00110B52" w:rsidRDefault="00000000">
      <w:r>
        <w:t>GO only if ALL conditions below are satisfied:</w:t>
      </w:r>
      <w:r>
        <w:br/>
      </w:r>
      <w:r>
        <w:br/>
        <w:t>DATA &amp; SAFETY: GO</w:t>
      </w:r>
      <w:r>
        <w:br/>
        <w:t>STRATEGY + ANALYTICS: NO-GO (pending integration)</w:t>
      </w:r>
      <w:r>
        <w:br/>
        <w:t>FIS + SIZING: NO-GO (pending tests)</w:t>
      </w:r>
      <w:r>
        <w:br/>
        <w:t>ORCHESTRATION: NO-GO (TradingEngine + Router incomplete)</w:t>
      </w:r>
      <w:r>
        <w:br/>
      </w:r>
      <w:r>
        <w:lastRenderedPageBreak/>
        <w:t>VALIDATION: NO-GO (E2E + regression tests missing)</w:t>
      </w:r>
      <w:r>
        <w:br/>
      </w:r>
    </w:p>
    <w:p w14:paraId="09590742" w14:textId="77777777" w:rsidR="00110B52" w:rsidRDefault="00000000">
      <w:pPr>
        <w:pStyle w:val="Heading2"/>
      </w:pPr>
      <w:r>
        <w:t>Paper Trading Alignment</w:t>
      </w:r>
    </w:p>
    <w:p w14:paraId="37782B4B" w14:textId="77777777" w:rsidR="00110B52" w:rsidRDefault="00000000">
      <w:r>
        <w:t>Paper trading is an operational validation phase, not a development sandbox.</w:t>
      </w:r>
      <w:r>
        <w:br/>
      </w:r>
      <w:r>
        <w:br/>
        <w:t>Preconditions:</w:t>
      </w:r>
      <w:r>
        <w:br/>
        <w:t>- Phase 3 analytics integration complete</w:t>
      </w:r>
      <w:r>
        <w:br/>
        <w:t>- Phase 4 FIS tests passing</w:t>
      </w:r>
      <w:r>
        <w:br/>
        <w:t>- Phase 6 orchestration complete</w:t>
      </w:r>
      <w:r>
        <w:br/>
        <w:t>- Phase 7 validation complete</w:t>
      </w:r>
      <w:r>
        <w:br/>
      </w:r>
      <w:r>
        <w:br/>
        <w:t>Week 1: Stability (latency, fills, disconnects)</w:t>
      </w:r>
      <w:r>
        <w:br/>
        <w:t>Week 2: Economics (P&amp;L, slippage, drawdowns)</w:t>
      </w:r>
      <w:r>
        <w:br/>
      </w:r>
    </w:p>
    <w:p w14:paraId="1821BE8E" w14:textId="77777777" w:rsidR="00110B52" w:rsidRDefault="00000000">
      <w:pPr>
        <w:pStyle w:val="Heading2"/>
      </w:pPr>
      <w:r>
        <w:t>DevOps Integration Guidance (Gaussian Team)</w:t>
      </w:r>
    </w:p>
    <w:p w14:paraId="61980D0C" w14:textId="77777777" w:rsidR="00110B52" w:rsidRDefault="00000000">
      <w:r>
        <w:t>CondorBrain should be treated as the reference execution and validation spine.</w:t>
      </w:r>
      <w:r>
        <w:br/>
        <w:t>Gaussian-side components should dovetail at the following seams:</w:t>
      </w:r>
      <w:r>
        <w:br/>
      </w:r>
      <w:r>
        <w:br/>
        <w:t>- Feature / signal outputs → Strategy interface</w:t>
      </w:r>
      <w:r>
        <w:br/>
        <w:t>- Distributional forecasts → FIS sizing inputs</w:t>
      </w:r>
      <w:r>
        <w:br/>
        <w:t>- Risk envelopes → RiskManager invariants</w:t>
      </w:r>
      <w:r>
        <w:br/>
      </w:r>
      <w:r>
        <w:br/>
        <w:t>Any Gaussian component replacing or augmenting CondorBrain logic must:</w:t>
      </w:r>
      <w:r>
        <w:br/>
        <w:t>- Respect lag alignment metadata</w:t>
      </w:r>
      <w:r>
        <w:br/>
        <w:t>- Pass identical E2E and regression tests</w:t>
      </w:r>
      <w:r>
        <w:br/>
        <w:t>- Match or exceed benchmark latency and stability</w:t>
      </w:r>
      <w:r>
        <w:br/>
      </w:r>
    </w:p>
    <w:p w14:paraId="21397FCB" w14:textId="77777777" w:rsidR="00110B52" w:rsidRDefault="00000000">
      <w:pPr>
        <w:pStyle w:val="Heading2"/>
      </w:pPr>
      <w:r>
        <w:t>Remaining Work &amp; Time Estimate (CondorBrain Side)</w:t>
      </w:r>
    </w:p>
    <w:p w14:paraId="35E860F2" w14:textId="77777777" w:rsidR="00110B52" w:rsidRDefault="00000000">
      <w:r>
        <w:t>Phase 3 completion: ~0.5–1 day</w:t>
      </w:r>
      <w:r>
        <w:br/>
        <w:t>Phase 4 FIS tests: ~0.5 day</w:t>
      </w:r>
      <w:r>
        <w:br/>
        <w:t>Phase 6 orchestration: ~1–2 days</w:t>
      </w:r>
      <w:r>
        <w:br/>
        <w:t>Phase 7 validation: ~1 day</w:t>
      </w:r>
      <w:r>
        <w:br/>
      </w:r>
      <w:r>
        <w:br/>
        <w:t>Estimated time to paper-trading readiness once unblocked: ~4–5 days</w:t>
      </w:r>
    </w:p>
    <w:p w14:paraId="2EDBE15B" w14:textId="77777777" w:rsidR="00110B52" w:rsidRDefault="00000000">
      <w:pPr>
        <w:pStyle w:val="Heading2"/>
      </w:pPr>
      <w:r>
        <w:t>Bottom Line for Gaussian DevOps</w:t>
      </w:r>
    </w:p>
    <w:p w14:paraId="446137CD" w14:textId="06928B77" w:rsidR="00E61D06" w:rsidRDefault="00000000">
      <w:r>
        <w:t>CondorBrain is no longer a research system—it is a near-production execution benchmark.</w:t>
      </w:r>
      <w:r>
        <w:br/>
        <w:t>Gaussian work can proceed in parallel, but live integration should target the completed CondorBrain pipeline to avoid duplicated validation and compliance effort.</w:t>
      </w:r>
    </w:p>
    <w:p w14:paraId="3EFCFDBE" w14:textId="77777777" w:rsidR="00E61D06" w:rsidRDefault="00E61D06">
      <w:r>
        <w:br w:type="page"/>
      </w:r>
    </w:p>
    <w:p w14:paraId="46C3AC84" w14:textId="7844AE83" w:rsidR="00E61D06" w:rsidRPr="00E61D06" w:rsidRDefault="00E61D06" w:rsidP="00E61D0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D06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anchor distT="0" distB="0" distL="114300" distR="114300" simplePos="0" relativeHeight="251658752" behindDoc="1" locked="0" layoutInCell="1" allowOverlap="1" wp14:anchorId="5571CEBA" wp14:editId="3409D532">
            <wp:simplePos x="0" y="0"/>
            <wp:positionH relativeFrom="column">
              <wp:posOffset>-1000125</wp:posOffset>
            </wp:positionH>
            <wp:positionV relativeFrom="paragraph">
              <wp:posOffset>904240</wp:posOffset>
            </wp:positionV>
            <wp:extent cx="7447915" cy="8010525"/>
            <wp:effectExtent l="0" t="0" r="635" b="9525"/>
            <wp:wrapTight wrapText="bothSides">
              <wp:wrapPolygon edited="0">
                <wp:start x="0" y="0"/>
                <wp:lineTo x="0" y="21574"/>
                <wp:lineTo x="21547" y="21574"/>
                <wp:lineTo x="21547" y="0"/>
                <wp:lineTo x="0" y="0"/>
              </wp:wrapPolygon>
            </wp:wrapTight>
            <wp:docPr id="198375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51301" name="Picture 19837513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4791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1D06">
        <w:rPr>
          <w:rFonts w:ascii="Times New Roman" w:hAnsi="Times New Roman" w:cs="Times New Roman"/>
          <w:b/>
          <w:bCs/>
          <w:sz w:val="48"/>
          <w:szCs w:val="48"/>
        </w:rPr>
        <w:t xml:space="preserve">Appendix A — </w:t>
      </w:r>
      <w:proofErr w:type="spellStart"/>
      <w:r w:rsidRPr="00E61D06">
        <w:rPr>
          <w:rFonts w:ascii="Times New Roman" w:hAnsi="Times New Roman" w:cs="Times New Roman"/>
          <w:b/>
          <w:bCs/>
          <w:sz w:val="48"/>
          <w:szCs w:val="48"/>
        </w:rPr>
        <w:t>Graphviz</w:t>
      </w:r>
      <w:proofErr w:type="spellEnd"/>
      <w:r w:rsidRPr="00E61D06">
        <w:rPr>
          <w:rFonts w:ascii="Times New Roman" w:hAnsi="Times New Roman" w:cs="Times New Roman"/>
          <w:b/>
          <w:bCs/>
          <w:sz w:val="48"/>
          <w:szCs w:val="48"/>
        </w:rPr>
        <w:t xml:space="preserve"> DAG (</w:t>
      </w:r>
      <w:r w:rsidRPr="00E61D06">
        <w:rPr>
          <w:rStyle w:val="HTMLCode"/>
          <w:rFonts w:ascii="Times New Roman" w:eastAsiaTheme="minorEastAsia" w:hAnsi="Times New Roman" w:cs="Times New Roman"/>
          <w:b/>
          <w:bCs/>
          <w:sz w:val="48"/>
          <w:szCs w:val="48"/>
        </w:rPr>
        <w:t>docs/</w:t>
      </w:r>
      <w:proofErr w:type="spellStart"/>
      <w:r w:rsidRPr="00E61D06">
        <w:rPr>
          <w:rStyle w:val="HTMLCode"/>
          <w:rFonts w:ascii="Times New Roman" w:eastAsiaTheme="minorEastAsia" w:hAnsi="Times New Roman" w:cs="Times New Roman"/>
          <w:b/>
          <w:bCs/>
          <w:sz w:val="48"/>
          <w:szCs w:val="48"/>
        </w:rPr>
        <w:t>dags</w:t>
      </w:r>
      <w:proofErr w:type="spellEnd"/>
      <w:r w:rsidRPr="00E61D06">
        <w:rPr>
          <w:rStyle w:val="HTMLCode"/>
          <w:rFonts w:ascii="Times New Roman" w:eastAsiaTheme="minorEastAsia" w:hAnsi="Times New Roman" w:cs="Times New Roman"/>
          <w:b/>
          <w:bCs/>
          <w:sz w:val="48"/>
          <w:szCs w:val="48"/>
        </w:rPr>
        <w:t>/condorbrain_gaussian_dag.dot</w:t>
      </w:r>
      <w:r w:rsidRPr="00E61D06">
        <w:rPr>
          <w:rFonts w:ascii="Times New Roman" w:hAnsi="Times New Roman" w:cs="Times New Roman"/>
          <w:b/>
          <w:bCs/>
          <w:sz w:val="48"/>
          <w:szCs w:val="48"/>
        </w:rPr>
        <w:lastRenderedPageBreak/>
        <w:t>)</w:t>
      </w:r>
      <w:r>
        <w:rPr>
          <w:rFonts w:ascii="Times New Roman" w:hAnsi="Times New Roman" w:cs="Times New Roman"/>
          <w:sz w:val="48"/>
          <w:szCs w:val="48"/>
        </w:rPr>
        <w:br/>
      </w:r>
      <w:r w:rsidRPr="00E6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  <w:r w:rsidRPr="00E6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Appendix B — </w:t>
      </w:r>
      <w:proofErr w:type="spellStart"/>
      <w:r w:rsidRPr="00E6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↔ Gaussian Interface Contract</w:t>
      </w:r>
    </w:p>
    <w:p w14:paraId="5BBE22D0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(Schemas, Invariants, and Operational Guarantees)</w:t>
      </w:r>
    </w:p>
    <w:p w14:paraId="284A5DC1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Purpose and Scope</w:t>
      </w:r>
    </w:p>
    <w:p w14:paraId="47FB86EF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This appendix defines the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formal integration contract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between the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execution spine and the Gaussian-side analytics, forecasting, and signal-generation components. Its purpose is to ensure that all Gaussian outputs can be safely, deterministically, and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auditably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consumed by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without compromising execution integrity, risk controls, or regulatory defensibility.</w:t>
      </w:r>
    </w:p>
    <w:p w14:paraId="17746627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is designated as the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benchmark execution system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. Gaussian components are treated as </w:t>
      </w:r>
      <w:r w:rsidRPr="00E61D06">
        <w:rPr>
          <w:rFonts w:ascii="Times New Roman" w:eastAsia="Times New Roman" w:hAnsi="Times New Roman" w:cs="Times New Roman"/>
          <w:i/>
          <w:iCs/>
          <w:sz w:val="24"/>
          <w:szCs w:val="24"/>
        </w:rPr>
        <w:t>producers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of signals, forecasts, or auxiliary risk information that must conform to the contracts defined herein.</w:t>
      </w:r>
    </w:p>
    <w:p w14:paraId="677FAC26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No live or paper trading is permitted unless all interfaces comply with these contracts and their invariants.</w:t>
      </w:r>
    </w:p>
    <w:p w14:paraId="27FC20AC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1C9FEE9D">
          <v:rect id="_x0000_i1026" style="width:0;height:1.5pt" o:hralign="center" o:hrstd="t" o:hr="t" fillcolor="#a0a0a0" stroked="f"/>
        </w:pict>
      </w:r>
    </w:p>
    <w:p w14:paraId="0E7E2B6C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Architectural Principles</w:t>
      </w:r>
    </w:p>
    <w:p w14:paraId="195485E9" w14:textId="77777777" w:rsidR="00E61D06" w:rsidRPr="00E61D06" w:rsidRDefault="00E61D06" w:rsidP="00E61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Enforcement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 xml:space="preserve">All Gaussian outputs enter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through explicit, versioned interfaces. There are no implicit couplings or side channels.</w:t>
      </w:r>
    </w:p>
    <w:p w14:paraId="5AA1ED8C" w14:textId="77777777" w:rsidR="00E61D06" w:rsidRPr="00E61D06" w:rsidRDefault="00E61D06" w:rsidP="00E61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Fail-Closed by Default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Any contract violation (schema mismatch, stale data, invalid values) results in trade rejection rather than degraded execution.</w:t>
      </w:r>
    </w:p>
    <w:p w14:paraId="1122ECA7" w14:textId="77777777" w:rsidR="00E61D06" w:rsidRPr="00E61D06" w:rsidRDefault="00E61D06" w:rsidP="00E61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Time-Correctness First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Timestamp alignment, lag detection, and decay policies are first-class constraints, not secondary checks.</w:t>
      </w:r>
    </w:p>
    <w:p w14:paraId="03DD7F84" w14:textId="77777777" w:rsidR="00E61D06" w:rsidRPr="00E61D06" w:rsidRDefault="00E61D06" w:rsidP="00E61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Versioned and Auditable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 xml:space="preserve">Every payload declares its schema version and can be replayed, validated, and </w:t>
      </w:r>
      <w:proofErr w:type="gramStart"/>
      <w:r w:rsidRPr="00E61D06">
        <w:rPr>
          <w:rFonts w:ascii="Times New Roman" w:eastAsia="Times New Roman" w:hAnsi="Times New Roman" w:cs="Times New Roman"/>
          <w:sz w:val="24"/>
          <w:szCs w:val="24"/>
        </w:rPr>
        <w:t>regression-tested</w:t>
      </w:r>
      <w:proofErr w:type="gramEnd"/>
      <w:r w:rsidRPr="00E61D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18AF2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3E91BB73">
          <v:rect id="_x0000_i1027" style="width:0;height:1.5pt" o:hralign="center" o:hrstd="t" o:hr="t" fillcolor="#a0a0a0" stroked="f"/>
        </w:pict>
      </w:r>
    </w:p>
    <w:p w14:paraId="15EC5543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Surfaces</w:t>
      </w:r>
    </w:p>
    <w:p w14:paraId="268F9BAC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D06">
        <w:rPr>
          <w:rFonts w:ascii="Times New Roman" w:eastAsia="Times New Roman" w:hAnsi="Times New Roman" w:cs="Times New Roman"/>
          <w:b/>
          <w:bCs/>
          <w:sz w:val="27"/>
          <w:szCs w:val="27"/>
        </w:rPr>
        <w:t>Feature-to-Strategy Interface</w:t>
      </w:r>
    </w:p>
    <w:p w14:paraId="6E53CF07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Gaussian may supply numerical features or probabilistic signals used by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strategy gating layer. These inputs must be fully numeric, timestamp-aligned, and explicitly marked for validity when partial data exists.</w:t>
      </w:r>
    </w:p>
    <w:p w14:paraId="203A2C91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D06">
        <w:rPr>
          <w:rFonts w:ascii="Times New Roman" w:eastAsia="Times New Roman" w:hAnsi="Times New Roman" w:cs="Times New Roman"/>
          <w:b/>
          <w:bCs/>
          <w:sz w:val="27"/>
          <w:szCs w:val="27"/>
        </w:rPr>
        <w:t>Forecast-to-Sizing Interface</w:t>
      </w:r>
    </w:p>
    <w:p w14:paraId="72CC753D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Gaussian may provide distributional forecasts (means, variances, quantiles, regime probabilities) that influence fuzzy inference sizing decisions. Forecast uncertainty must be explicit and internally consistent.</w:t>
      </w:r>
    </w:p>
    <w:p w14:paraId="28BA98B4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D06">
        <w:rPr>
          <w:rFonts w:ascii="Times New Roman" w:eastAsia="Times New Roman" w:hAnsi="Times New Roman" w:cs="Times New Roman"/>
          <w:b/>
          <w:bCs/>
          <w:sz w:val="27"/>
          <w:szCs w:val="27"/>
        </w:rPr>
        <w:t>Risk Envelope Interface</w:t>
      </w:r>
    </w:p>
    <w:p w14:paraId="1980E877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Gaussian may supply external risk constraints or stress scenarios. These are treated as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hard invariants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RiskManager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and override internal sizing logic when violated.</w:t>
      </w:r>
    </w:p>
    <w:p w14:paraId="0162E41E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D06">
        <w:rPr>
          <w:rFonts w:ascii="Times New Roman" w:eastAsia="Times New Roman" w:hAnsi="Times New Roman" w:cs="Times New Roman"/>
          <w:b/>
          <w:bCs/>
          <w:sz w:val="27"/>
          <w:szCs w:val="27"/>
        </w:rPr>
        <w:t>Telemetry and Diagnostics Interface</w:t>
      </w:r>
    </w:p>
    <w:p w14:paraId="49D5FFEE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Gaussian services must emit telemetry describing latency, data freshness, and operational health. These metrics feed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trace harness and benchmarking framework.</w:t>
      </w:r>
    </w:p>
    <w:p w14:paraId="31C82DAC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77D11061">
          <v:rect id="_x0000_i1028" style="width:0;height:1.5pt" o:hralign="center" o:hrstd="t" o:hr="t" fillcolor="#a0a0a0" stroked="f"/>
        </w:pict>
      </w:r>
    </w:p>
    <w:p w14:paraId="678CE71D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Time Semantics and Alignment</w:t>
      </w:r>
    </w:p>
    <w:p w14:paraId="238B3641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All Gaussian payloads must include:</w:t>
      </w:r>
    </w:p>
    <w:p w14:paraId="2EAD129D" w14:textId="77777777" w:rsidR="00E61D06" w:rsidRPr="00E61D06" w:rsidRDefault="00E61D06" w:rsidP="00E61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Event timestamp (the market time being referenced)</w:t>
      </w:r>
    </w:p>
    <w:p w14:paraId="40AFD0F3" w14:textId="77777777" w:rsidR="00E61D06" w:rsidRPr="00E61D06" w:rsidRDefault="00E61D06" w:rsidP="00E61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Production timestamp (when the payload was generated)</w:t>
      </w:r>
    </w:p>
    <w:p w14:paraId="33EFD1CB" w14:textId="77777777" w:rsidR="00E61D06" w:rsidRPr="00E61D06" w:rsidRDefault="00E61D06" w:rsidP="00E61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Explicit lag in seconds</w:t>
      </w:r>
    </w:p>
    <w:p w14:paraId="12503895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enforces symbol-specific lag policies (decay, cutoff, or hybrid). Payloads exceeding allowed lag thresholds are either </w:t>
      </w:r>
      <w:proofErr w:type="gramStart"/>
      <w:r w:rsidRPr="00E61D06">
        <w:rPr>
          <w:rFonts w:ascii="Times New Roman" w:eastAsia="Times New Roman" w:hAnsi="Times New Roman" w:cs="Times New Roman"/>
          <w:sz w:val="24"/>
          <w:szCs w:val="24"/>
        </w:rPr>
        <w:t>down-weighted</w:t>
      </w:r>
      <w:proofErr w:type="gram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or rejected entirely, depending on configuration.</w:t>
      </w:r>
    </w:p>
    <w:p w14:paraId="2A976BD2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2A6E3EC5">
          <v:rect id="_x0000_i1029" style="width:0;height:1.5pt" o:hralign="center" o:hrstd="t" o:hr="t" fillcolor="#a0a0a0" stroked="f"/>
        </w:pict>
      </w:r>
    </w:p>
    <w:p w14:paraId="0E1019E7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Invariants (Non-Negotiable)</w:t>
      </w:r>
    </w:p>
    <w:p w14:paraId="1ABE78C1" w14:textId="77777777" w:rsidR="00E61D06" w:rsidRPr="00E61D06" w:rsidRDefault="00E61D06" w:rsidP="00E61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or infinite values may enter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unless explicitly masked.</w:t>
      </w:r>
    </w:p>
    <w:p w14:paraId="182B42AE" w14:textId="77777777" w:rsidR="00E61D06" w:rsidRPr="00E61D06" w:rsidRDefault="00E61D06" w:rsidP="00E61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Probability distributions must be normalized and internally ordered.</w:t>
      </w:r>
    </w:p>
    <w:p w14:paraId="4EA9DA63" w14:textId="77777777" w:rsidR="00E61D06" w:rsidRPr="00E61D06" w:rsidRDefault="00E61D06" w:rsidP="00E61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Risk limits must be finite and enforceable.</w:t>
      </w:r>
    </w:p>
    <w:p w14:paraId="652BE540" w14:textId="77777777" w:rsidR="00E61D06" w:rsidRPr="00E61D06" w:rsidRDefault="00E61D06" w:rsidP="00E61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Latency and lag must be non-negative and monotonic.</w:t>
      </w:r>
    </w:p>
    <w:p w14:paraId="6006A78F" w14:textId="77777777" w:rsidR="00E61D06" w:rsidRPr="00E61D06" w:rsidRDefault="00E61D06" w:rsidP="00E61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Any invariant violation triggers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fail-closed behavior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(no new trades).</w:t>
      </w:r>
    </w:p>
    <w:p w14:paraId="7A56F495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26AC3D6">
          <v:rect id="_x0000_i1030" style="width:0;height:1.5pt" o:hralign="center" o:hrstd="t" o:hr="t" fillcolor="#a0a0a0" stroked="f"/>
        </w:pict>
      </w:r>
    </w:p>
    <w:p w14:paraId="74F1FDF3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Operational Guarantees</w:t>
      </w:r>
    </w:p>
    <w:p w14:paraId="02A83D01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guarantees:</w:t>
      </w:r>
    </w:p>
    <w:p w14:paraId="0B390E3B" w14:textId="77777777" w:rsidR="00E61D06" w:rsidRPr="00E61D06" w:rsidRDefault="00E61D06" w:rsidP="00E61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Deterministic handling of compliant Gaussian inputs</w:t>
      </w:r>
    </w:p>
    <w:p w14:paraId="26E3B020" w14:textId="77777777" w:rsidR="00E61D06" w:rsidRPr="00E61D06" w:rsidRDefault="00E61D06" w:rsidP="00E61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Traceability from input payload to final order decision</w:t>
      </w:r>
    </w:p>
    <w:p w14:paraId="07E87910" w14:textId="77777777" w:rsidR="00E61D06" w:rsidRPr="00E61D06" w:rsidRDefault="00E61D06" w:rsidP="00E61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Enforcement of all risk and alignment constraints</w:t>
      </w:r>
    </w:p>
    <w:p w14:paraId="7C78FCF0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Gaussian guarantees:</w:t>
      </w:r>
    </w:p>
    <w:p w14:paraId="488C8C7E" w14:textId="77777777" w:rsidR="00E61D06" w:rsidRPr="00E61D06" w:rsidRDefault="00E61D06" w:rsidP="00E61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Schema compliance</w:t>
      </w:r>
    </w:p>
    <w:p w14:paraId="52F6A566" w14:textId="77777777" w:rsidR="00E61D06" w:rsidRPr="00E61D06" w:rsidRDefault="00E61D06" w:rsidP="00E61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Explicit timestamping and lag reporting</w:t>
      </w:r>
    </w:p>
    <w:p w14:paraId="5B341BE9" w14:textId="77777777" w:rsidR="00E61D06" w:rsidRPr="00E61D06" w:rsidRDefault="00E61D06" w:rsidP="00E61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Stable versioning and backward compatibility discipline</w:t>
      </w:r>
    </w:p>
    <w:p w14:paraId="791F9C06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34E7D264">
          <v:rect id="_x0000_i1031" style="width:0;height:1.5pt" o:hralign="center" o:hrstd="t" o:hr="t" fillcolor="#a0a0a0" stroked="f"/>
        </w:pict>
      </w:r>
    </w:p>
    <w:p w14:paraId="4CB17EFA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Promotion Requirements</w:t>
      </w:r>
    </w:p>
    <w:p w14:paraId="50610CC5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Before Gaussian inputs may be used in paper or live trading:</w:t>
      </w:r>
    </w:p>
    <w:p w14:paraId="3633B423" w14:textId="77777777" w:rsidR="00E61D06" w:rsidRPr="00E61D06" w:rsidRDefault="00E61D06" w:rsidP="00E61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Contract conformance tests must pass</w:t>
      </w:r>
    </w:p>
    <w:p w14:paraId="789282FF" w14:textId="77777777" w:rsidR="00E61D06" w:rsidRPr="00E61D06" w:rsidRDefault="00E61D06" w:rsidP="00E61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Regression outputs must match golden datasets</w:t>
      </w:r>
    </w:p>
    <w:p w14:paraId="27B85A23" w14:textId="77777777" w:rsidR="00E61D06" w:rsidRPr="00E61D06" w:rsidRDefault="00E61D06" w:rsidP="00E61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Latency budgets must be met under load</w:t>
      </w:r>
    </w:p>
    <w:p w14:paraId="6666C0F6" w14:textId="77777777" w:rsidR="00E61D06" w:rsidRPr="00E61D06" w:rsidRDefault="00E61D06" w:rsidP="00E61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Fail-closed behavior must be demonstrated</w:t>
      </w:r>
    </w:p>
    <w:p w14:paraId="0F058BD1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3C7F2483">
          <v:rect id="_x0000_i1032" style="width:0;height:1.5pt" o:hralign="center" o:hrstd="t" o:hr="t" fillcolor="#a0a0a0" stroked="f"/>
        </w:pict>
      </w:r>
    </w:p>
    <w:p w14:paraId="0E8B625C" w14:textId="77777777" w:rsidR="00E61D06" w:rsidRDefault="00E61D0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62D17A5C" w14:textId="25176BB2" w:rsidR="00E61D06" w:rsidRPr="00E61D06" w:rsidRDefault="00E61D06" w:rsidP="00E61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Appendix C — Joint </w:t>
      </w:r>
      <w:proofErr w:type="spellStart"/>
      <w:r w:rsidRPr="00E6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↔ Gaussian Integration Timeline</w:t>
      </w:r>
    </w:p>
    <w:p w14:paraId="1950066C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(Parallel Workstreams and Promotion Gates)</w:t>
      </w:r>
    </w:p>
    <w:p w14:paraId="2E131F66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EA84E71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This appendix defines a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shared execution timeline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showing how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and Gaussian teams can work in parallel while converging safely toward paper trading and live deployment.</w:t>
      </w:r>
    </w:p>
    <w:p w14:paraId="09D61C59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acts as the execution and validation backbone; Gaussian work proceeds independently but docks at defined milestones.</w:t>
      </w:r>
    </w:p>
    <w:p w14:paraId="760A26E5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74A89BCA">
          <v:rect id="_x0000_i1033" style="width:0;height:1.5pt" o:hralign="center" o:hrstd="t" o:hr="t" fillcolor="#a0a0a0" stroked="f"/>
        </w:pict>
      </w:r>
    </w:p>
    <w:p w14:paraId="7E83119A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Workstreams</w:t>
      </w:r>
    </w:p>
    <w:p w14:paraId="05474F3D" w14:textId="77777777" w:rsidR="00E61D06" w:rsidRPr="00E61D06" w:rsidRDefault="00E61D06" w:rsidP="00E61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Workstream A — </w:t>
      </w:r>
      <w:proofErr w:type="spellStart"/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(Benchmark Spine)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Execution, risk enforcement, orchestration, validation</w:t>
      </w:r>
    </w:p>
    <w:p w14:paraId="1BB7883E" w14:textId="77777777" w:rsidR="00E61D06" w:rsidRPr="00E61D06" w:rsidRDefault="00E61D06" w:rsidP="00E61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Workstream B — Gaussian (Analytics &amp; Forecasting)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Feature generation, probabilistic modeling, regime inference</w:t>
      </w:r>
    </w:p>
    <w:p w14:paraId="6AF26506" w14:textId="77777777" w:rsidR="00E61D06" w:rsidRPr="00E61D06" w:rsidRDefault="00E61D06" w:rsidP="00E61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Workstream C — DevOps / Infrastructure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CI/CD, deployment, observability, broker connectivity</w:t>
      </w:r>
    </w:p>
    <w:p w14:paraId="701A815A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036D8B4C">
          <v:rect id="_x0000_i1034" style="width:0;height:1.5pt" o:hralign="center" o:hrstd="t" o:hr="t" fillcolor="#a0a0a0" stroked="f"/>
        </w:pict>
      </w:r>
    </w:p>
    <w:p w14:paraId="43E1425F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1 — Interface Contract Freeze</w:t>
      </w:r>
    </w:p>
    <w:p w14:paraId="33BC06E9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Establish stable schemas and invariants.</w:t>
      </w:r>
    </w:p>
    <w:p w14:paraId="4F61EEA9" w14:textId="77777777" w:rsidR="00E61D06" w:rsidRPr="00E61D06" w:rsidRDefault="00E61D06" w:rsidP="00E61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publishes the interface contract and validators.</w:t>
      </w:r>
    </w:p>
    <w:p w14:paraId="7B0DB750" w14:textId="77777777" w:rsidR="00E61D06" w:rsidRPr="00E61D06" w:rsidRDefault="00E61D06" w:rsidP="00E61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Gaussian implements payload emitters conforming to the contract.</w:t>
      </w:r>
    </w:p>
    <w:p w14:paraId="583E63CF" w14:textId="77777777" w:rsidR="00E61D06" w:rsidRPr="00E61D06" w:rsidRDefault="00E61D06" w:rsidP="00E61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DevOps enforces schema checks in CI.</w:t>
      </w:r>
    </w:p>
    <w:p w14:paraId="6C87DDD4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A mutually accepted, versioned contract with sample payloads.</w:t>
      </w:r>
    </w:p>
    <w:p w14:paraId="335601DB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1C85A047">
          <v:rect id="_x0000_i1035" style="width:0;height:1.5pt" o:hralign="center" o:hrstd="t" o:hr="t" fillcolor="#a0a0a0" stroked="f"/>
        </w:pict>
      </w:r>
    </w:p>
    <w:p w14:paraId="53E91CC0" w14:textId="77777777" w:rsidR="00E61D06" w:rsidRDefault="00E61D0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05920182" w14:textId="14491CF8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Milestone 2 — Strategy and FIS Docking</w:t>
      </w:r>
    </w:p>
    <w:p w14:paraId="4D508EA0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Fuse Gaussian outputs into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intelligence layers.</w:t>
      </w:r>
    </w:p>
    <w:p w14:paraId="267C6505" w14:textId="77777777" w:rsidR="00E61D06" w:rsidRPr="00E61D06" w:rsidRDefault="00E61D06" w:rsidP="00E61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completes analytics integration and FIS tests.</w:t>
      </w:r>
    </w:p>
    <w:p w14:paraId="0D3C42F1" w14:textId="77777777" w:rsidR="00E61D06" w:rsidRPr="00E61D06" w:rsidRDefault="00E61D06" w:rsidP="00E61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Gaussian delivers stable, </w:t>
      </w:r>
      <w:proofErr w:type="gramStart"/>
      <w:r w:rsidRPr="00E61D06">
        <w:rPr>
          <w:rFonts w:ascii="Times New Roman" w:eastAsia="Times New Roman" w:hAnsi="Times New Roman" w:cs="Times New Roman"/>
          <w:sz w:val="24"/>
          <w:szCs w:val="24"/>
        </w:rPr>
        <w:t>timestamp-</w:t>
      </w:r>
      <w:proofErr w:type="gramEnd"/>
      <w:r w:rsidRPr="00E61D06">
        <w:rPr>
          <w:rFonts w:ascii="Times New Roman" w:eastAsia="Times New Roman" w:hAnsi="Times New Roman" w:cs="Times New Roman"/>
          <w:sz w:val="24"/>
          <w:szCs w:val="24"/>
        </w:rPr>
        <w:t>correct features and forecasts.</w:t>
      </w:r>
    </w:p>
    <w:p w14:paraId="5BE0CE06" w14:textId="77777777" w:rsidR="00E61D06" w:rsidRPr="00E61D06" w:rsidRDefault="00E61D06" w:rsidP="00E61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DevOps provisions telemetry pipelines and dashboards.</w:t>
      </w:r>
    </w:p>
    <w:p w14:paraId="5A4C980A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Single-day end-to-end dry runs with full traceability.</w:t>
      </w:r>
    </w:p>
    <w:p w14:paraId="4771ABFF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4D628A13">
          <v:rect id="_x0000_i1036" style="width:0;height:1.5pt" o:hralign="center" o:hrstd="t" o:hr="t" fillcolor="#a0a0a0" stroked="f"/>
        </w:pict>
      </w:r>
    </w:p>
    <w:p w14:paraId="6EE032D8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3 — Orchestration and Routing</w:t>
      </w:r>
    </w:p>
    <w:p w14:paraId="2A0B872D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Transition from research flow to execution flow.</w:t>
      </w:r>
    </w:p>
    <w:p w14:paraId="174D82D2" w14:textId="77777777" w:rsidR="00E61D06" w:rsidRPr="00E61D06" w:rsidRDefault="00E61D06" w:rsidP="00E61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completes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TradingEngine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>, routing, and run modes.</w:t>
      </w:r>
    </w:p>
    <w:p w14:paraId="13A071FB" w14:textId="77777777" w:rsidR="00E61D06" w:rsidRPr="00E61D06" w:rsidRDefault="00E61D06" w:rsidP="00E61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Gaussian validates operational stability under execution cadence.</w:t>
      </w:r>
    </w:p>
    <w:p w14:paraId="0D416CCC" w14:textId="77777777" w:rsidR="00E61D06" w:rsidRPr="00E61D06" w:rsidRDefault="00E61D06" w:rsidP="00E61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DevOps deploys paper broker adapters and secrets management.</w:t>
      </w:r>
    </w:p>
    <w:p w14:paraId="21F793F2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61D06">
        <w:rPr>
          <w:rFonts w:ascii="Times New Roman" w:eastAsia="Times New Roman" w:hAnsi="Times New Roman" w:cs="Times New Roman"/>
          <w:sz w:val="24"/>
          <w:szCs w:val="24"/>
        </w:rPr>
        <w:t>Multi-day</w:t>
      </w:r>
      <w:proofErr w:type="gram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backtests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using the same pipeline intended for paper trading.</w:t>
      </w:r>
    </w:p>
    <w:p w14:paraId="31F3697B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5857E347">
          <v:rect id="_x0000_i1037" style="width:0;height:1.5pt" o:hralign="center" o:hrstd="t" o:hr="t" fillcolor="#a0a0a0" stroked="f"/>
        </w:pict>
      </w:r>
    </w:p>
    <w:p w14:paraId="622260DC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4 — Validation Gates</w:t>
      </w:r>
    </w:p>
    <w:p w14:paraId="5BEAB535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Prove correctness, stability, and reproducibility.</w:t>
      </w:r>
    </w:p>
    <w:p w14:paraId="56369190" w14:textId="77777777" w:rsidR="00E61D06" w:rsidRPr="00E61D06" w:rsidRDefault="00E61D06" w:rsidP="00E61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executes end-to-end, regression, and performance tests.</w:t>
      </w:r>
    </w:p>
    <w:p w14:paraId="067B1CF4" w14:textId="77777777" w:rsidR="00E61D06" w:rsidRPr="00E61D06" w:rsidRDefault="00E61D06" w:rsidP="00E61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Gaussian passes contract and latency conformance under load.</w:t>
      </w:r>
    </w:p>
    <w:p w14:paraId="3C1275BD" w14:textId="77777777" w:rsidR="00E61D06" w:rsidRPr="00E61D06" w:rsidRDefault="00E61D06" w:rsidP="00E61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DevOps wires CI/CD promotion gates.</w:t>
      </w:r>
    </w:p>
    <w:p w14:paraId="2B3B96DF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A “Paper-Ready” release artifact.</w:t>
      </w:r>
    </w:p>
    <w:p w14:paraId="2817C03B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3EB6F59B">
          <v:rect id="_x0000_i1038" style="width:0;height:1.5pt" o:hralign="center" o:hrstd="t" o:hr="t" fillcolor="#a0a0a0" stroked="f"/>
        </w:pict>
      </w:r>
    </w:p>
    <w:p w14:paraId="32365B65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5 — Paper Trading</w:t>
      </w:r>
    </w:p>
    <w:p w14:paraId="6A5D01DD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Week 1: Stability Focus</w:t>
      </w:r>
    </w:p>
    <w:p w14:paraId="0D1D62C4" w14:textId="77777777" w:rsidR="00E61D06" w:rsidRPr="00E61D06" w:rsidRDefault="00E61D06" w:rsidP="00E61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Latency, disconnect handling, fail-closed verification</w:t>
      </w:r>
    </w:p>
    <w:p w14:paraId="3B62A6C3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 2: Economic Reality</w:t>
      </w:r>
    </w:p>
    <w:p w14:paraId="52A44B19" w14:textId="77777777" w:rsidR="00E61D06" w:rsidRPr="00E61D06" w:rsidRDefault="00E61D06" w:rsidP="00E61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P&amp;L reconciliation, slippage realism, drawdown behavior</w:t>
      </w:r>
    </w:p>
    <w:p w14:paraId="03E1EA22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Formal Go / No-Go decision for live trading.</w:t>
      </w:r>
    </w:p>
    <w:p w14:paraId="0CDFCAFC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0BF91AD8">
          <v:rect id="_x0000_i1039" style="width:0;height:1.5pt" o:hralign="center" o:hrstd="t" o:hr="t" fillcolor="#a0a0a0" stroked="f"/>
        </w:pict>
      </w:r>
    </w:p>
    <w:p w14:paraId="0835BE85" w14:textId="77777777" w:rsidR="00E61D06" w:rsidRDefault="00E61D0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007AD49B" w14:textId="3100D69B" w:rsidR="00E61D06" w:rsidRPr="00E61D06" w:rsidRDefault="00E61D06" w:rsidP="00E61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Appendix D — Why </w:t>
      </w:r>
      <w:proofErr w:type="spellStart"/>
      <w:r w:rsidRPr="00E6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the Benchmark</w:t>
      </w:r>
    </w:p>
    <w:p w14:paraId="033AF47C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(Technical Rationale for Leadership)</w:t>
      </w:r>
    </w:p>
    <w:p w14:paraId="07C1F90A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14:paraId="377BB841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is designated as the benchmarking system because it already embodies the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hardest and most failure-prone aspects of institutional trading deployment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. Gaussian innovation should be evaluated </w:t>
      </w:r>
      <w:r w:rsidRPr="00E61D06">
        <w:rPr>
          <w:rFonts w:ascii="Times New Roman" w:eastAsia="Times New Roman" w:hAnsi="Times New Roman" w:cs="Times New Roman"/>
          <w:i/>
          <w:iCs/>
          <w:sz w:val="24"/>
          <w:szCs w:val="24"/>
        </w:rPr>
        <w:t>within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this environment, not alongside or outside it.</w:t>
      </w:r>
    </w:p>
    <w:p w14:paraId="205868FC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6E879AA5">
          <v:rect id="_x0000_i1040" style="width:0;height:1.5pt" o:hralign="center" o:hrstd="t" o:hr="t" fillcolor="#a0a0a0" stroked="f"/>
        </w:pict>
      </w:r>
    </w:p>
    <w:p w14:paraId="7AC03DF8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Benchmarking Requires More Than Model Accuracy</w:t>
      </w:r>
    </w:p>
    <w:p w14:paraId="3C165CAA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High-quality models frequently fail in production due to:</w:t>
      </w:r>
    </w:p>
    <w:p w14:paraId="40EDAC1E" w14:textId="77777777" w:rsidR="00E61D06" w:rsidRPr="00E61D06" w:rsidRDefault="00E61D06" w:rsidP="00E61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stale or misaligned data,</w:t>
      </w:r>
    </w:p>
    <w:p w14:paraId="78F0C3E0" w14:textId="77777777" w:rsidR="00E61D06" w:rsidRPr="00E61D06" w:rsidRDefault="00E61D06" w:rsidP="00E61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unrealistic execution assumptions,</w:t>
      </w:r>
    </w:p>
    <w:p w14:paraId="4797656E" w14:textId="77777777" w:rsidR="00E61D06" w:rsidRPr="00E61D06" w:rsidRDefault="00E61D06" w:rsidP="00E61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uncontrolled portfolio risk,</w:t>
      </w:r>
    </w:p>
    <w:p w14:paraId="161B0CF2" w14:textId="77777777" w:rsidR="00E61D06" w:rsidRPr="00E61D06" w:rsidRDefault="00E61D06" w:rsidP="00E61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lack of fail-safe behavior,</w:t>
      </w:r>
    </w:p>
    <w:p w14:paraId="26CC6D8B" w14:textId="77777777" w:rsidR="00E61D06" w:rsidRPr="00E61D06" w:rsidRDefault="00E61D06" w:rsidP="00E61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absence of reproducible validation.</w:t>
      </w:r>
    </w:p>
    <w:p w14:paraId="0B9327DE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explicitly addresses these issues. Gaussian models must therefore demonstrate value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under the same constraints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to be meaningfully benchmarked.</w:t>
      </w:r>
    </w:p>
    <w:p w14:paraId="276D363C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6344A566">
          <v:rect id="_x0000_i1041" style="width:0;height:1.5pt" o:hralign="center" o:hrstd="t" o:hr="t" fillcolor="#a0a0a0" stroked="f"/>
        </w:pict>
      </w:r>
    </w:p>
    <w:p w14:paraId="23C65352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Institutional Guardrails</w:t>
      </w:r>
    </w:p>
    <w:p w14:paraId="0A773B1F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already provides:</w:t>
      </w:r>
    </w:p>
    <w:p w14:paraId="1B23CEEF" w14:textId="77777777" w:rsidR="00E61D06" w:rsidRPr="00E61D06" w:rsidRDefault="00E61D06" w:rsidP="00E61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Market realism (slippage, commissions, realized volatility)</w:t>
      </w:r>
    </w:p>
    <w:p w14:paraId="47C662EB" w14:textId="77777777" w:rsidR="00E61D06" w:rsidRPr="00E61D06" w:rsidRDefault="00E61D06" w:rsidP="00E61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Lag-aware alignment with explicit decay and cutoff policies</w:t>
      </w:r>
    </w:p>
    <w:p w14:paraId="20CD9EC6" w14:textId="77777777" w:rsidR="00E61D06" w:rsidRPr="00E61D06" w:rsidRDefault="00E61D06" w:rsidP="00E61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Portfolio-level risk aggregation and invariant enforcement</w:t>
      </w:r>
    </w:p>
    <w:p w14:paraId="0B50DDC3" w14:textId="77777777" w:rsidR="00E61D06" w:rsidRPr="00E61D06" w:rsidRDefault="00E61D06" w:rsidP="00E61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Deterministic traceability from data to decision</w:t>
      </w:r>
    </w:p>
    <w:p w14:paraId="38582E6C" w14:textId="77777777" w:rsidR="00E61D06" w:rsidRPr="00E61D06" w:rsidRDefault="00E61D06" w:rsidP="00E61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Structured validation gates before capital exposure</w:t>
      </w:r>
    </w:p>
    <w:p w14:paraId="29F9C1FF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These controls typically represent the largest hidden cost and risk in deployment.</w:t>
      </w:r>
    </w:p>
    <w:p w14:paraId="6D942887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5B8A24D3">
          <v:rect id="_x0000_i1042" style="width:0;height:1.5pt" o:hralign="center" o:hrstd="t" o:hr="t" fillcolor="#a0a0a0" stroked="f"/>
        </w:pict>
      </w:r>
    </w:p>
    <w:p w14:paraId="67E3BB87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Auditability and Reproducibility</w:t>
      </w:r>
    </w:p>
    <w:p w14:paraId="269E06E2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A true benchmark system must support:</w:t>
      </w:r>
    </w:p>
    <w:p w14:paraId="177AC19A" w14:textId="77777777" w:rsidR="00E61D06" w:rsidRPr="00E61D06" w:rsidRDefault="00E61D06" w:rsidP="00E61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deterministic replay,</w:t>
      </w:r>
    </w:p>
    <w:p w14:paraId="5B61FEF2" w14:textId="77777777" w:rsidR="00E61D06" w:rsidRPr="00E61D06" w:rsidRDefault="00E61D06" w:rsidP="00E61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versioned schemas,</w:t>
      </w:r>
    </w:p>
    <w:p w14:paraId="597E6720" w14:textId="77777777" w:rsidR="00E61D06" w:rsidRPr="00E61D06" w:rsidRDefault="00E61D06" w:rsidP="00E61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golden regression datasets,</w:t>
      </w:r>
    </w:p>
    <w:p w14:paraId="61470EF7" w14:textId="77777777" w:rsidR="00E61D06" w:rsidRPr="00E61D06" w:rsidRDefault="00E61D06" w:rsidP="00E61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measurable latency and stability.</w:t>
      </w:r>
    </w:p>
    <w:p w14:paraId="7E15F97C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architecture is designed around these properties, enabling credible internal and external review.</w:t>
      </w:r>
    </w:p>
    <w:p w14:paraId="2C110F7F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5DB3ACA2">
          <v:rect id="_x0000_i1043" style="width:0;height:1.5pt" o:hralign="center" o:hrstd="t" o:hr="t" fillcolor="#a0a0a0" stroked="f"/>
        </w:pict>
      </w:r>
    </w:p>
    <w:p w14:paraId="258C41F2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Organizational Efficiency</w:t>
      </w:r>
    </w:p>
    <w:p w14:paraId="10CAAD58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as the benchmark:</w:t>
      </w:r>
    </w:p>
    <w:p w14:paraId="4A68C6EF" w14:textId="77777777" w:rsidR="00E61D06" w:rsidRPr="00E61D06" w:rsidRDefault="00E61D06" w:rsidP="00E61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Prevents duplicated execution and risk infrastructure</w:t>
      </w:r>
    </w:p>
    <w:p w14:paraId="30A4A0FB" w14:textId="77777777" w:rsidR="00E61D06" w:rsidRPr="00E61D06" w:rsidRDefault="00E61D06" w:rsidP="00E61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Allows Gaussian teams to focus on signal quality</w:t>
      </w:r>
    </w:p>
    <w:p w14:paraId="36C09513" w14:textId="77777777" w:rsidR="00E61D06" w:rsidRPr="00E61D06" w:rsidRDefault="00E61D06" w:rsidP="00E61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Centralizes validation and compliance effort</w:t>
      </w:r>
    </w:p>
    <w:p w14:paraId="1523D638" w14:textId="77777777" w:rsidR="00E61D06" w:rsidRPr="00E61D06" w:rsidRDefault="00E61D06" w:rsidP="00E61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Reduces operational risk during iteration</w:t>
      </w:r>
    </w:p>
    <w:p w14:paraId="1ADDCD6E" w14:textId="77777777" w:rsidR="00E61D06" w:rsidRPr="00E61D06" w:rsidRDefault="00E61D06" w:rsidP="00E61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50F2B7F7">
          <v:rect id="_x0000_i1044" style="width:0;height:1.5pt" o:hralign="center" o:hrstd="t" o:hr="t" fillcolor="#a0a0a0" stroked="f"/>
        </w:pict>
      </w:r>
    </w:p>
    <w:p w14:paraId="4A1EB972" w14:textId="77777777" w:rsidR="00E61D06" w:rsidRPr="00E61D06" w:rsidRDefault="00E61D06" w:rsidP="00E6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Strategic Conclusion</w:t>
      </w:r>
    </w:p>
    <w:p w14:paraId="17BD2501" w14:textId="77777777" w:rsidR="00E61D06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defines the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deployable standard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realistic execution, enforceable risk, time correctness, and testable guarantees.</w:t>
      </w:r>
    </w:p>
    <w:p w14:paraId="2F19A9C4" w14:textId="227CB423" w:rsidR="00110B52" w:rsidRPr="00E61D06" w:rsidRDefault="00E61D06" w:rsidP="00E6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Gaussian innovation should integrate through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contracts and demonstrate measurable improvement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under identical execution constraints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>. This ensures that any observed performance lift is real, repeatable, and safe to deploy.</w:t>
      </w:r>
    </w:p>
    <w:sectPr w:rsidR="00110B52" w:rsidRPr="00E61D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B5E27"/>
    <w:multiLevelType w:val="multilevel"/>
    <w:tmpl w:val="A13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D6981"/>
    <w:multiLevelType w:val="multilevel"/>
    <w:tmpl w:val="786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613D7"/>
    <w:multiLevelType w:val="multilevel"/>
    <w:tmpl w:val="9C3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96D94"/>
    <w:multiLevelType w:val="multilevel"/>
    <w:tmpl w:val="4558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30553"/>
    <w:multiLevelType w:val="multilevel"/>
    <w:tmpl w:val="03DC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A22263"/>
    <w:multiLevelType w:val="multilevel"/>
    <w:tmpl w:val="ED4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0494D"/>
    <w:multiLevelType w:val="multilevel"/>
    <w:tmpl w:val="C4B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51897"/>
    <w:multiLevelType w:val="multilevel"/>
    <w:tmpl w:val="364A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71B09"/>
    <w:multiLevelType w:val="multilevel"/>
    <w:tmpl w:val="BB0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81C18"/>
    <w:multiLevelType w:val="multilevel"/>
    <w:tmpl w:val="FA2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70AD8"/>
    <w:multiLevelType w:val="multilevel"/>
    <w:tmpl w:val="4874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12353"/>
    <w:multiLevelType w:val="multilevel"/>
    <w:tmpl w:val="D2D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20B99"/>
    <w:multiLevelType w:val="multilevel"/>
    <w:tmpl w:val="1CC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C3B4D"/>
    <w:multiLevelType w:val="multilevel"/>
    <w:tmpl w:val="7A3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968A1"/>
    <w:multiLevelType w:val="multilevel"/>
    <w:tmpl w:val="8FB2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E715A"/>
    <w:multiLevelType w:val="multilevel"/>
    <w:tmpl w:val="B676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B65D8"/>
    <w:multiLevelType w:val="multilevel"/>
    <w:tmpl w:val="A4D4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B4C0A"/>
    <w:multiLevelType w:val="multilevel"/>
    <w:tmpl w:val="A69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71178">
    <w:abstractNumId w:val="8"/>
  </w:num>
  <w:num w:numId="2" w16cid:durableId="370225081">
    <w:abstractNumId w:val="6"/>
  </w:num>
  <w:num w:numId="3" w16cid:durableId="370804086">
    <w:abstractNumId w:val="5"/>
  </w:num>
  <w:num w:numId="4" w16cid:durableId="839581720">
    <w:abstractNumId w:val="4"/>
  </w:num>
  <w:num w:numId="5" w16cid:durableId="1410420840">
    <w:abstractNumId w:val="7"/>
  </w:num>
  <w:num w:numId="6" w16cid:durableId="1708600124">
    <w:abstractNumId w:val="3"/>
  </w:num>
  <w:num w:numId="7" w16cid:durableId="218709962">
    <w:abstractNumId w:val="2"/>
  </w:num>
  <w:num w:numId="8" w16cid:durableId="842428891">
    <w:abstractNumId w:val="1"/>
  </w:num>
  <w:num w:numId="9" w16cid:durableId="65150912">
    <w:abstractNumId w:val="0"/>
  </w:num>
  <w:num w:numId="10" w16cid:durableId="1787504165">
    <w:abstractNumId w:val="13"/>
  </w:num>
  <w:num w:numId="11" w16cid:durableId="1269892350">
    <w:abstractNumId w:val="12"/>
  </w:num>
  <w:num w:numId="12" w16cid:durableId="595360608">
    <w:abstractNumId w:val="17"/>
  </w:num>
  <w:num w:numId="13" w16cid:durableId="1870410246">
    <w:abstractNumId w:val="24"/>
  </w:num>
  <w:num w:numId="14" w16cid:durableId="1641105783">
    <w:abstractNumId w:val="20"/>
  </w:num>
  <w:num w:numId="15" w16cid:durableId="1210603848">
    <w:abstractNumId w:val="15"/>
  </w:num>
  <w:num w:numId="16" w16cid:durableId="1914849726">
    <w:abstractNumId w:val="25"/>
  </w:num>
  <w:num w:numId="17" w16cid:durableId="1650668212">
    <w:abstractNumId w:val="21"/>
  </w:num>
  <w:num w:numId="18" w16cid:durableId="352802762">
    <w:abstractNumId w:val="23"/>
  </w:num>
  <w:num w:numId="19" w16cid:durableId="708452947">
    <w:abstractNumId w:val="16"/>
  </w:num>
  <w:num w:numId="20" w16cid:durableId="448015857">
    <w:abstractNumId w:val="10"/>
  </w:num>
  <w:num w:numId="21" w16cid:durableId="1843859337">
    <w:abstractNumId w:val="18"/>
  </w:num>
  <w:num w:numId="22" w16cid:durableId="1576280226">
    <w:abstractNumId w:val="14"/>
  </w:num>
  <w:num w:numId="23" w16cid:durableId="922379622">
    <w:abstractNumId w:val="11"/>
  </w:num>
  <w:num w:numId="24" w16cid:durableId="1036856088">
    <w:abstractNumId w:val="19"/>
  </w:num>
  <w:num w:numId="25" w16cid:durableId="1503547724">
    <w:abstractNumId w:val="26"/>
  </w:num>
  <w:num w:numId="26" w16cid:durableId="1861092020">
    <w:abstractNumId w:val="9"/>
  </w:num>
  <w:num w:numId="27" w16cid:durableId="3226613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B52"/>
    <w:rsid w:val="0015074B"/>
    <w:rsid w:val="0029639D"/>
    <w:rsid w:val="00326F90"/>
    <w:rsid w:val="008D38C6"/>
    <w:rsid w:val="00AA1D8D"/>
    <w:rsid w:val="00B47730"/>
    <w:rsid w:val="00CB0664"/>
    <w:rsid w:val="00E61D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88F24"/>
  <w14:defaultImageDpi w14:val="300"/>
  <w15:docId w15:val="{E88B9EE5-BE63-4D5A-A201-D6C842C6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61D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1699</Words>
  <Characters>9685</Characters>
  <Application>Microsoft Office Word</Application>
  <DocSecurity>0</DocSecurity>
  <Lines>276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FIGHT THE DEMONS</cp:lastModifiedBy>
  <cp:revision>2</cp:revision>
  <dcterms:created xsi:type="dcterms:W3CDTF">2026-01-18T23:37:00Z</dcterms:created>
  <dcterms:modified xsi:type="dcterms:W3CDTF">2026-01-18T23:37:00Z</dcterms:modified>
  <cp:category/>
</cp:coreProperties>
</file>