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C019" w14:textId="542DD4DA" w:rsidR="00C11B60" w:rsidRDefault="00000000">
      <w:pPr>
        <w:pStyle w:val="Title"/>
      </w:pPr>
      <w:r>
        <w:t>CondorBrain ↔ Gaussian Stack Alignment Report</w:t>
      </w:r>
      <w:r>
        <w:br/>
        <w:t>(</w:t>
      </w:r>
      <w:r w:rsidR="00D21AA5">
        <w:t>Executive</w:t>
      </w:r>
      <w:r>
        <w:t xml:space="preserve"> + DevOps</w:t>
      </w:r>
      <w:r w:rsidR="00D21AA5">
        <w:t xml:space="preserve"> teams</w:t>
      </w:r>
      <w:r>
        <w:t>)</w:t>
      </w:r>
    </w:p>
    <w:p w14:paraId="23257146" w14:textId="77777777" w:rsidR="00C11B60" w:rsidRDefault="00000000">
      <w:pPr>
        <w:pStyle w:val="Heading1"/>
      </w:pPr>
      <w:r>
        <w:t>One-Page Executive Summary</w:t>
      </w:r>
    </w:p>
    <w:p w14:paraId="4A533BA4" w14:textId="5ADC4274" w:rsidR="00567C58" w:rsidRDefault="00000000" w:rsidP="00567C58">
      <w:pPr>
        <w:pStyle w:val="Heading1"/>
      </w:pPr>
      <w:proofErr w:type="spellStart"/>
      <w:r w:rsidRPr="00567C58">
        <w:rPr>
          <w:b w:val="0"/>
          <w:bCs w:val="0"/>
          <w:color w:val="auto"/>
          <w:sz w:val="24"/>
          <w:szCs w:val="24"/>
        </w:rPr>
        <w:t>CondorBrain</w:t>
      </w:r>
      <w:proofErr w:type="spellEnd"/>
      <w:r w:rsidRPr="00567C58">
        <w:rPr>
          <w:b w:val="0"/>
          <w:bCs w:val="0"/>
          <w:color w:val="auto"/>
          <w:sz w:val="24"/>
          <w:szCs w:val="24"/>
        </w:rPr>
        <w:t xml:space="preserve"> serves as the institutional execution, risk, and validation benchmark for all Gaussian-side model development. The system has completed all foundational safety, realism, alignment, and risk layers. Remaining work is limited to deterministic orchestration, final validation, and controlled paper trading.</w:t>
      </w:r>
      <w:r w:rsidRPr="00567C58">
        <w:rPr>
          <w:b w:val="0"/>
          <w:bCs w:val="0"/>
          <w:color w:val="auto"/>
          <w:sz w:val="24"/>
          <w:szCs w:val="24"/>
        </w:rPr>
        <w:br/>
      </w:r>
      <w:r w:rsidRPr="00567C58">
        <w:rPr>
          <w:color w:val="auto"/>
          <w:sz w:val="24"/>
          <w:szCs w:val="24"/>
        </w:rPr>
        <w:t>There is no remaining research risk.</w:t>
      </w:r>
      <w:r w:rsidRPr="00567C58">
        <w:rPr>
          <w:b w:val="0"/>
          <w:bCs w:val="0"/>
          <w:color w:val="auto"/>
          <w:sz w:val="24"/>
          <w:szCs w:val="24"/>
        </w:rPr>
        <w:t xml:space="preserve"> Live trading readiness is gated solely by engineering completion and operational verification.</w:t>
      </w:r>
      <w:r w:rsidRPr="00567C58">
        <w:rPr>
          <w:b w:val="0"/>
          <w:bCs w:val="0"/>
          <w:color w:val="auto"/>
          <w:sz w:val="24"/>
          <w:szCs w:val="24"/>
        </w:rPr>
        <w:br/>
        <w:t xml:space="preserve">Estimated time to paper-trading readiness once unblocked: </w:t>
      </w:r>
      <w:r w:rsidRPr="00567C58">
        <w:rPr>
          <w:b w:val="0"/>
          <w:bCs w:val="0"/>
          <w:i/>
          <w:iCs/>
          <w:color w:val="auto"/>
          <w:sz w:val="24"/>
          <w:szCs w:val="24"/>
        </w:rPr>
        <w:t>4–5 engineering days</w:t>
      </w:r>
      <w:r w:rsidRPr="00567C58">
        <w:rPr>
          <w:b w:val="0"/>
          <w:bCs w:val="0"/>
          <w:color w:val="auto"/>
          <w:sz w:val="24"/>
          <w:szCs w:val="24"/>
        </w:rPr>
        <w:t>.</w:t>
      </w:r>
      <w:r w:rsidRPr="00567C58">
        <w:rPr>
          <w:b w:val="0"/>
          <w:bCs w:val="0"/>
          <w:color w:val="auto"/>
          <w:sz w:val="24"/>
          <w:szCs w:val="24"/>
        </w:rPr>
        <w:br/>
        <w:t>Estimated total time to live trading (including mandatory paper trading): ~</w:t>
      </w:r>
      <w:r w:rsidRPr="00567C58">
        <w:rPr>
          <w:b w:val="0"/>
          <w:bCs w:val="0"/>
          <w:i/>
          <w:iCs/>
          <w:color w:val="auto"/>
          <w:sz w:val="24"/>
          <w:szCs w:val="24"/>
        </w:rPr>
        <w:t>3</w:t>
      </w:r>
      <w:r w:rsidR="00D21AA5" w:rsidRPr="00567C58">
        <w:rPr>
          <w:b w:val="0"/>
          <w:bCs w:val="0"/>
          <w:i/>
          <w:iCs/>
          <w:color w:val="auto"/>
          <w:sz w:val="24"/>
          <w:szCs w:val="24"/>
        </w:rPr>
        <w:t>-4</w:t>
      </w:r>
      <w:r w:rsidRPr="00567C58">
        <w:rPr>
          <w:b w:val="0"/>
          <w:bCs w:val="0"/>
          <w:i/>
          <w:iCs/>
          <w:color w:val="auto"/>
          <w:sz w:val="24"/>
          <w:szCs w:val="24"/>
        </w:rPr>
        <w:t xml:space="preserve"> weeks</w:t>
      </w:r>
      <w:r w:rsidRPr="00567C58">
        <w:rPr>
          <w:b w:val="0"/>
          <w:bCs w:val="0"/>
          <w:color w:val="auto"/>
          <w:sz w:val="24"/>
          <w:szCs w:val="24"/>
        </w:rPr>
        <w:t>.</w:t>
      </w:r>
      <w:r w:rsidR="00567C58">
        <w:br/>
      </w:r>
      <w:proofErr w:type="spellStart"/>
      <w:r w:rsidR="00567C58" w:rsidRPr="00567C58">
        <w:rPr>
          <w:rFonts w:cstheme="majorHAnsi"/>
          <w:b w:val="0"/>
          <w:bCs w:val="0"/>
          <w:color w:val="auto"/>
          <w:sz w:val="24"/>
          <w:szCs w:val="24"/>
        </w:rPr>
        <w:t>CondorBrain</w:t>
      </w:r>
      <w:proofErr w:type="spellEnd"/>
      <w:r w:rsidR="00567C58" w:rsidRPr="00567C58">
        <w:rPr>
          <w:rFonts w:cstheme="majorHAnsi"/>
          <w:b w:val="0"/>
          <w:bCs w:val="0"/>
          <w:color w:val="auto"/>
          <w:sz w:val="24"/>
          <w:szCs w:val="24"/>
        </w:rPr>
        <w:t xml:space="preserve"> establishes the authoritative execution spine. Gaussian components integrate only through versioned contracts at the Strategy, FIS, and </w:t>
      </w:r>
      <w:proofErr w:type="spellStart"/>
      <w:r w:rsidR="00567C58" w:rsidRPr="00567C58">
        <w:rPr>
          <w:rFonts w:cstheme="majorHAnsi"/>
          <w:b w:val="0"/>
          <w:bCs w:val="0"/>
          <w:color w:val="auto"/>
          <w:sz w:val="24"/>
          <w:szCs w:val="24"/>
        </w:rPr>
        <w:t>RiskManager</w:t>
      </w:r>
      <w:proofErr w:type="spellEnd"/>
      <w:r w:rsidR="00567C58" w:rsidRPr="00567C58">
        <w:rPr>
          <w:rFonts w:cstheme="majorHAnsi"/>
          <w:b w:val="0"/>
          <w:bCs w:val="0"/>
          <w:color w:val="auto"/>
          <w:sz w:val="24"/>
          <w:szCs w:val="24"/>
        </w:rPr>
        <w:t xml:space="preserve"> boundaries. No Gaussian component bypasses </w:t>
      </w:r>
      <w:proofErr w:type="spellStart"/>
      <w:r w:rsidR="00567C58" w:rsidRPr="00567C58">
        <w:rPr>
          <w:rFonts w:cstheme="majorHAnsi"/>
          <w:b w:val="0"/>
          <w:bCs w:val="0"/>
          <w:color w:val="auto"/>
          <w:sz w:val="24"/>
          <w:szCs w:val="24"/>
        </w:rPr>
        <w:t>CondorBrain</w:t>
      </w:r>
      <w:proofErr w:type="spellEnd"/>
      <w:r w:rsidR="00567C58" w:rsidRPr="00567C58">
        <w:rPr>
          <w:rFonts w:cstheme="majorHAnsi"/>
          <w:b w:val="0"/>
          <w:bCs w:val="0"/>
          <w:color w:val="auto"/>
          <w:sz w:val="24"/>
          <w:szCs w:val="24"/>
        </w:rPr>
        <w:t xml:space="preserve"> orchestration or validation gates.</w:t>
      </w:r>
    </w:p>
    <w:p w14:paraId="56A84E8E" w14:textId="181AD4DF" w:rsidR="00567C58" w:rsidRDefault="00567C58" w:rsidP="00567C58">
      <w:pPr>
        <w:pStyle w:val="Heading1"/>
      </w:pPr>
      <w:r>
        <w:t>High-level path to real-account live trading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2"/>
        <w:gridCol w:w="1938"/>
        <w:gridCol w:w="1426"/>
        <w:gridCol w:w="1285"/>
        <w:gridCol w:w="1405"/>
        <w:gridCol w:w="1344"/>
      </w:tblGrid>
      <w:tr w:rsidR="00C11B60" w14:paraId="4CC723CD" w14:textId="77777777" w:rsidTr="00567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3DC62A42" w14:textId="77777777" w:rsidR="00C11B60" w:rsidRDefault="00000000">
            <w:r>
              <w:t>Phase</w:t>
            </w:r>
          </w:p>
        </w:tc>
        <w:tc>
          <w:tcPr>
            <w:tcW w:w="2282" w:type="dxa"/>
          </w:tcPr>
          <w:p w14:paraId="7650061B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676" w:type="dxa"/>
          </w:tcPr>
          <w:p w14:paraId="77073BBB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1412" w:type="dxa"/>
          </w:tcPr>
          <w:p w14:paraId="6B8B73EF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434" w:type="dxa"/>
          </w:tcPr>
          <w:p w14:paraId="5FEB9387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Cumulative Time</w:t>
            </w:r>
          </w:p>
        </w:tc>
        <w:tc>
          <w:tcPr>
            <w:tcW w:w="1423" w:type="dxa"/>
          </w:tcPr>
          <w:p w14:paraId="6B879E0C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C11B60" w14:paraId="29FE11A0" w14:textId="77777777" w:rsidTr="00567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0EB5499D" w14:textId="77777777" w:rsidR="00C11B60" w:rsidRDefault="00000000">
            <w:r>
              <w:t>Phase 3</w:t>
            </w:r>
          </w:p>
        </w:tc>
        <w:tc>
          <w:tcPr>
            <w:tcW w:w="2282" w:type="dxa"/>
          </w:tcPr>
          <w:p w14:paraId="5BD5D337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Strategy + Analytics Integration</w:t>
            </w:r>
          </w:p>
        </w:tc>
        <w:tc>
          <w:tcPr>
            <w:tcW w:w="676" w:type="dxa"/>
          </w:tcPr>
          <w:p w14:paraId="3514D440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CondorBrain</w:t>
            </w:r>
          </w:p>
        </w:tc>
        <w:tc>
          <w:tcPr>
            <w:tcW w:w="1412" w:type="dxa"/>
          </w:tcPr>
          <w:p w14:paraId="7B1F6AF8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1434" w:type="dxa"/>
          </w:tcPr>
          <w:p w14:paraId="7F57B67C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1</w:t>
            </w:r>
          </w:p>
        </w:tc>
        <w:tc>
          <w:tcPr>
            <w:tcW w:w="1423" w:type="dxa"/>
          </w:tcPr>
          <w:p w14:paraId="63009FC4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C11B60" w14:paraId="66AFC929" w14:textId="77777777" w:rsidTr="0056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12F6DE6D" w14:textId="77777777" w:rsidR="00C11B60" w:rsidRDefault="00000000">
            <w:r>
              <w:t>Phase 4</w:t>
            </w:r>
          </w:p>
        </w:tc>
        <w:tc>
          <w:tcPr>
            <w:tcW w:w="2282" w:type="dxa"/>
          </w:tcPr>
          <w:p w14:paraId="23BFB106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FIS Integration Tests</w:t>
            </w:r>
          </w:p>
        </w:tc>
        <w:tc>
          <w:tcPr>
            <w:tcW w:w="676" w:type="dxa"/>
          </w:tcPr>
          <w:p w14:paraId="0BF6FA37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CondorBrain</w:t>
            </w:r>
          </w:p>
        </w:tc>
        <w:tc>
          <w:tcPr>
            <w:tcW w:w="1412" w:type="dxa"/>
          </w:tcPr>
          <w:p w14:paraId="1CE9CAF4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 day</w:t>
            </w:r>
          </w:p>
        </w:tc>
        <w:tc>
          <w:tcPr>
            <w:tcW w:w="1434" w:type="dxa"/>
          </w:tcPr>
          <w:p w14:paraId="501BA43E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1.5</w:t>
            </w:r>
          </w:p>
        </w:tc>
        <w:tc>
          <w:tcPr>
            <w:tcW w:w="1423" w:type="dxa"/>
          </w:tcPr>
          <w:p w14:paraId="4F78C1CE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Progress</w:t>
            </w:r>
          </w:p>
        </w:tc>
      </w:tr>
      <w:tr w:rsidR="00C11B60" w14:paraId="20B22BB2" w14:textId="77777777" w:rsidTr="00567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00C5151F" w14:textId="77777777" w:rsidR="00C11B60" w:rsidRDefault="00000000">
            <w:r>
              <w:t>Phase 6</w:t>
            </w:r>
          </w:p>
        </w:tc>
        <w:tc>
          <w:tcPr>
            <w:tcW w:w="2282" w:type="dxa"/>
          </w:tcPr>
          <w:p w14:paraId="23C7F6F8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Orchestration + Router</w:t>
            </w:r>
          </w:p>
        </w:tc>
        <w:tc>
          <w:tcPr>
            <w:tcW w:w="676" w:type="dxa"/>
          </w:tcPr>
          <w:p w14:paraId="495A3E1E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CondorBrain</w:t>
            </w:r>
          </w:p>
        </w:tc>
        <w:tc>
          <w:tcPr>
            <w:tcW w:w="1412" w:type="dxa"/>
          </w:tcPr>
          <w:p w14:paraId="260DE8D1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 days</w:t>
            </w:r>
          </w:p>
        </w:tc>
        <w:tc>
          <w:tcPr>
            <w:tcW w:w="1434" w:type="dxa"/>
          </w:tcPr>
          <w:p w14:paraId="7EA968E6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3–4</w:t>
            </w:r>
          </w:p>
        </w:tc>
        <w:tc>
          <w:tcPr>
            <w:tcW w:w="1423" w:type="dxa"/>
          </w:tcPr>
          <w:p w14:paraId="442A2AA1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Blocked</w:t>
            </w:r>
          </w:p>
        </w:tc>
      </w:tr>
      <w:tr w:rsidR="00C11B60" w14:paraId="1635EEBE" w14:textId="77777777" w:rsidTr="0056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6E4310E5" w14:textId="77777777" w:rsidR="00C11B60" w:rsidRDefault="00000000">
            <w:r>
              <w:t>Phase 7</w:t>
            </w:r>
          </w:p>
        </w:tc>
        <w:tc>
          <w:tcPr>
            <w:tcW w:w="2282" w:type="dxa"/>
          </w:tcPr>
          <w:p w14:paraId="1DEC1B1A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E2E + Regression Validation</w:t>
            </w:r>
          </w:p>
        </w:tc>
        <w:tc>
          <w:tcPr>
            <w:tcW w:w="676" w:type="dxa"/>
          </w:tcPr>
          <w:p w14:paraId="05D87C4E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CondorBrain</w:t>
            </w:r>
          </w:p>
        </w:tc>
        <w:tc>
          <w:tcPr>
            <w:tcW w:w="1412" w:type="dxa"/>
          </w:tcPr>
          <w:p w14:paraId="5D25773A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day</w:t>
            </w:r>
          </w:p>
        </w:tc>
        <w:tc>
          <w:tcPr>
            <w:tcW w:w="1434" w:type="dxa"/>
          </w:tcPr>
          <w:p w14:paraId="015BE36F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Day 4–5</w:t>
            </w:r>
          </w:p>
        </w:tc>
        <w:tc>
          <w:tcPr>
            <w:tcW w:w="1423" w:type="dxa"/>
          </w:tcPr>
          <w:p w14:paraId="3D30DA5D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Blocked</w:t>
            </w:r>
          </w:p>
        </w:tc>
      </w:tr>
      <w:tr w:rsidR="00C11B60" w14:paraId="65E2DA63" w14:textId="77777777" w:rsidTr="00567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2E149C82" w14:textId="77777777" w:rsidR="00C11B60" w:rsidRDefault="00000000">
            <w:r>
              <w:t>Paper Trading</w:t>
            </w:r>
          </w:p>
        </w:tc>
        <w:tc>
          <w:tcPr>
            <w:tcW w:w="2282" w:type="dxa"/>
          </w:tcPr>
          <w:p w14:paraId="67C4E484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Operational Validation (No Dev)</w:t>
            </w:r>
          </w:p>
        </w:tc>
        <w:tc>
          <w:tcPr>
            <w:tcW w:w="676" w:type="dxa"/>
          </w:tcPr>
          <w:p w14:paraId="077F8C20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412" w:type="dxa"/>
          </w:tcPr>
          <w:p w14:paraId="432F57E1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weeks</w:t>
            </w:r>
          </w:p>
        </w:tc>
        <w:tc>
          <w:tcPr>
            <w:tcW w:w="1434" w:type="dxa"/>
          </w:tcPr>
          <w:p w14:paraId="0A4B2BAF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3</w:t>
            </w:r>
          </w:p>
        </w:tc>
        <w:tc>
          <w:tcPr>
            <w:tcW w:w="1423" w:type="dxa"/>
          </w:tcPr>
          <w:p w14:paraId="00D77CFE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</w:tr>
      <w:tr w:rsidR="00C11B60" w14:paraId="3B7A3FCB" w14:textId="77777777" w:rsidTr="00567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3" w:type="dxa"/>
          </w:tcPr>
          <w:p w14:paraId="4AE0F80F" w14:textId="77777777" w:rsidR="00C11B60" w:rsidRDefault="00000000">
            <w:r>
              <w:t>Live Trading</w:t>
            </w:r>
          </w:p>
        </w:tc>
        <w:tc>
          <w:tcPr>
            <w:tcW w:w="2282" w:type="dxa"/>
          </w:tcPr>
          <w:p w14:paraId="33993290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Capital Enabled</w:t>
            </w:r>
          </w:p>
        </w:tc>
        <w:tc>
          <w:tcPr>
            <w:tcW w:w="676" w:type="dxa"/>
          </w:tcPr>
          <w:p w14:paraId="1735935C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412" w:type="dxa"/>
          </w:tcPr>
          <w:p w14:paraId="7D62EA1D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34" w:type="dxa"/>
          </w:tcPr>
          <w:p w14:paraId="56BC557E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~Week 3+</w:t>
            </w:r>
          </w:p>
        </w:tc>
        <w:tc>
          <w:tcPr>
            <w:tcW w:w="1423" w:type="dxa"/>
          </w:tcPr>
          <w:p w14:paraId="12289F76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Gate Dependent</w:t>
            </w:r>
          </w:p>
        </w:tc>
      </w:tr>
    </w:tbl>
    <w:p w14:paraId="607F4DE5" w14:textId="77777777" w:rsidR="00C11B60" w:rsidRDefault="00000000">
      <w:r>
        <w:br w:type="page"/>
      </w:r>
    </w:p>
    <w:p w14:paraId="4EECA6E3" w14:textId="2B5E5AFB" w:rsidR="00D21AA5" w:rsidRDefault="00D21AA5" w:rsidP="00D21AA5">
      <w:pPr>
        <w:pStyle w:val="Heading1"/>
      </w:pPr>
      <w:r w:rsidRPr="00E61D06">
        <w:rPr>
          <w:rFonts w:ascii="Times New Roman" w:eastAsia="Times New Roman" w:hAnsi="Times New Roman" w:cs="Times New Roman"/>
          <w:b w:val="0"/>
          <w:bCs w:val="0"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58240" behindDoc="1" locked="0" layoutInCell="1" allowOverlap="1" wp14:anchorId="07983363" wp14:editId="25E2409E">
            <wp:simplePos x="0" y="0"/>
            <wp:positionH relativeFrom="margin">
              <wp:posOffset>-981075</wp:posOffset>
            </wp:positionH>
            <wp:positionV relativeFrom="paragraph">
              <wp:posOffset>371475</wp:posOffset>
            </wp:positionV>
            <wp:extent cx="7296785" cy="7848600"/>
            <wp:effectExtent l="0" t="0" r="0" b="0"/>
            <wp:wrapTight wrapText="bothSides">
              <wp:wrapPolygon edited="0">
                <wp:start x="0" y="0"/>
                <wp:lineTo x="0" y="21548"/>
                <wp:lineTo x="21542" y="21548"/>
                <wp:lineTo x="21542" y="0"/>
                <wp:lineTo x="0" y="0"/>
              </wp:wrapPolygon>
            </wp:wrapTight>
            <wp:docPr id="19837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1301" name="Picture 19837513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678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1D06">
        <w:rPr>
          <w:rFonts w:ascii="Times New Roman" w:hAnsi="Times New Roman" w:cs="Times New Roman"/>
          <w:b w:val="0"/>
          <w:bCs w:val="0"/>
          <w:sz w:val="48"/>
          <w:szCs w:val="48"/>
        </w:rPr>
        <w:t xml:space="preserve"> </w:t>
      </w:r>
      <w:r w:rsidR="0093353B">
        <w:t xml:space="preserve">Appendix </w:t>
      </w:r>
      <w:r w:rsidR="0093353B">
        <w:t>A</w:t>
      </w:r>
      <w:r w:rsidR="0093353B">
        <w:t xml:space="preserve"> — </w:t>
      </w:r>
      <w:proofErr w:type="spellStart"/>
      <w:r w:rsidR="0093353B">
        <w:t>Graphviz</w:t>
      </w:r>
      <w:proofErr w:type="spellEnd"/>
      <w:r w:rsidR="0093353B">
        <w:t xml:space="preserve"> DAG</w:t>
      </w:r>
      <w:r>
        <w:rPr>
          <w:rFonts w:ascii="Times New Roman" w:hAnsi="Times New Roman" w:cs="Times New Roman"/>
          <w:sz w:val="48"/>
          <w:szCs w:val="48"/>
        </w:rPr>
        <w:br/>
      </w:r>
      <w:r w:rsidR="0093353B">
        <w:lastRenderedPageBreak/>
        <w:t xml:space="preserve">Appendix B — </w:t>
      </w:r>
      <w:proofErr w:type="spellStart"/>
      <w:r w:rsidR="0093353B">
        <w:t>CondorBrain</w:t>
      </w:r>
      <w:proofErr w:type="spellEnd"/>
      <w:r w:rsidR="0093353B">
        <w:t xml:space="preserve"> ↔ Gaussian Interface Contract</w:t>
      </w:r>
    </w:p>
    <w:p w14:paraId="25C4633B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(Schemas, Invariants, and Operational Guarantees)</w:t>
      </w:r>
    </w:p>
    <w:p w14:paraId="7A1F8E45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Purpose and Scope</w:t>
      </w:r>
    </w:p>
    <w:p w14:paraId="27A1E3FB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formal integration contract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execution spine and the Gaussian-side analytics, forecasting, and signal-generation components. Its purpose is to ensure that all Gaussian outputs can be safely, deterministically, and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auditably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consumed by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without compromising execution integrity, risk controls, or regulatory defensibility.</w:t>
      </w:r>
    </w:p>
    <w:p w14:paraId="08B3D1DA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is designated as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 execution system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. Gaussian components are treated as </w:t>
      </w:r>
      <w:r w:rsidRPr="00E61D06">
        <w:rPr>
          <w:rFonts w:ascii="Times New Roman" w:eastAsia="Times New Roman" w:hAnsi="Times New Roman" w:cs="Times New Roman"/>
          <w:i/>
          <w:iCs/>
          <w:sz w:val="24"/>
          <w:szCs w:val="24"/>
        </w:rPr>
        <w:t>producers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of signals, forecasts, or auxiliary risk information that must conform to the contracts defined herein.</w:t>
      </w:r>
    </w:p>
    <w:p w14:paraId="75865E7A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No live or paper trading is permitted unless all interfaces comply with these contracts and their invariants.</w:t>
      </w:r>
    </w:p>
    <w:p w14:paraId="3EE356B2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80DC496">
          <v:rect id="_x0000_i1025" style="width:0;height:1.5pt" o:hralign="center" o:hrstd="t" o:hr="t" fillcolor="#a0a0a0" stroked="f"/>
        </w:pict>
      </w:r>
    </w:p>
    <w:p w14:paraId="3281C58E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Architectural Principles</w:t>
      </w:r>
    </w:p>
    <w:p w14:paraId="378498BA" w14:textId="77777777" w:rsidR="00D21AA5" w:rsidRPr="00E61D06" w:rsidRDefault="00D21AA5" w:rsidP="00D21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Enforcement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 xml:space="preserve">All Gaussian outputs enter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through explicit, versioned interfaces. There are no implicit couplings or side channels.</w:t>
      </w:r>
    </w:p>
    <w:p w14:paraId="74E3DDA0" w14:textId="77777777" w:rsidR="00D21AA5" w:rsidRPr="00E61D06" w:rsidRDefault="00D21AA5" w:rsidP="00D21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Fail-Closed by Default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Any contract violation (schema mismatch, stale data, invalid values) results in trade rejection rather than degraded execution.</w:t>
      </w:r>
    </w:p>
    <w:p w14:paraId="64BA3CF5" w14:textId="77777777" w:rsidR="00D21AA5" w:rsidRPr="00E61D06" w:rsidRDefault="00D21AA5" w:rsidP="00D21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Time-Correctness First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Timestamp alignment, lag detection, and decay policies are first-class constraints, not secondary checks.</w:t>
      </w:r>
    </w:p>
    <w:p w14:paraId="57C16A54" w14:textId="77777777" w:rsidR="00D21AA5" w:rsidRPr="00E61D06" w:rsidRDefault="00D21AA5" w:rsidP="00D21A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Versioned and Auditable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 xml:space="preserve">Every payload declares its schema version and can be replayed, validated, and </w:t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regression-tested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1904DD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733BAF84">
          <v:rect id="_x0000_i1026" style="width:0;height:1.5pt" o:hralign="center" o:hrstd="t" o:hr="t" fillcolor="#a0a0a0" stroked="f"/>
        </w:pict>
      </w:r>
    </w:p>
    <w:p w14:paraId="3840CD48" w14:textId="77777777" w:rsidR="00CB5ED2" w:rsidRDefault="00CB5ED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04DC5ECA" w14:textId="5872695C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Integration Surfaces</w:t>
      </w:r>
    </w:p>
    <w:p w14:paraId="152D3052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Feature-to-Strategy Interface</w:t>
      </w:r>
    </w:p>
    <w:p w14:paraId="01A37177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may supply numerical features or probabilistic signals used by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strategy gating layer. These inputs must be fully numeric, timestamp-aligned, and explicitly marked for validity when partial data exists.</w:t>
      </w:r>
    </w:p>
    <w:p w14:paraId="76449421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Forecast-to-Sizing Interface</w:t>
      </w:r>
    </w:p>
    <w:p w14:paraId="3FF3B525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may provide distributional forecasts (means, variances, quantiles, regime probabilities) that influence fuzzy inference sizing decisions. Forecast uncertainty must be explicit and internally consistent.</w:t>
      </w:r>
    </w:p>
    <w:p w14:paraId="037914E7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Risk Envelope Interface</w:t>
      </w:r>
    </w:p>
    <w:p w14:paraId="572387D5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may supply external risk constraints or stress scenarios. These are treated as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hard invariants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RiskManager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and override internal sizing logic when violated.</w:t>
      </w:r>
    </w:p>
    <w:p w14:paraId="091ECCC6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1D06">
        <w:rPr>
          <w:rFonts w:ascii="Times New Roman" w:eastAsia="Times New Roman" w:hAnsi="Times New Roman" w:cs="Times New Roman"/>
          <w:b/>
          <w:bCs/>
          <w:sz w:val="27"/>
          <w:szCs w:val="27"/>
        </w:rPr>
        <w:t>Telemetry and Diagnostics Interface</w:t>
      </w:r>
    </w:p>
    <w:p w14:paraId="7DA28BF6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services must emit telemetry describing latency, data freshness, and operational health. These metrics feed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trace harness and benchmarking framework.</w:t>
      </w:r>
    </w:p>
    <w:p w14:paraId="5FE059DF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3C952EA">
          <v:rect id="_x0000_i1027" style="width:0;height:1.5pt" o:hralign="center" o:hrstd="t" o:hr="t" fillcolor="#a0a0a0" stroked="f"/>
        </w:pict>
      </w:r>
    </w:p>
    <w:p w14:paraId="3CE4A371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Time Semantics and Alignment</w:t>
      </w:r>
    </w:p>
    <w:p w14:paraId="2A5F0151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All Gaussian payloads must include:</w:t>
      </w:r>
    </w:p>
    <w:p w14:paraId="19C23D0C" w14:textId="77777777" w:rsidR="00D21AA5" w:rsidRPr="00E61D06" w:rsidRDefault="00D21AA5" w:rsidP="00D21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Event timestamp (the market time being referenced)</w:t>
      </w:r>
    </w:p>
    <w:p w14:paraId="4BACA6D0" w14:textId="77777777" w:rsidR="00D21AA5" w:rsidRPr="00E61D06" w:rsidRDefault="00D21AA5" w:rsidP="00D21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Production timestamp (when the payload was generated)</w:t>
      </w:r>
    </w:p>
    <w:p w14:paraId="39884EE8" w14:textId="77777777" w:rsidR="00D21AA5" w:rsidRPr="00E61D06" w:rsidRDefault="00D21AA5" w:rsidP="00D21A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Explicit lag in seconds</w:t>
      </w:r>
    </w:p>
    <w:p w14:paraId="3D47EFDA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enforces symbol-specific lag policies (decay, cutoff, or hybrid). Payloads exceeding allowed lag thresholds are either </w:t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down-weighted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or rejected entirely, depending on configuration.</w:t>
      </w:r>
    </w:p>
    <w:p w14:paraId="0BC9424F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D7EAD80">
          <v:rect id="_x0000_i1028" style="width:0;height:1.5pt" o:hralign="center" o:hrstd="t" o:hr="t" fillcolor="#a0a0a0" stroked="f"/>
        </w:pict>
      </w:r>
    </w:p>
    <w:p w14:paraId="69F5F727" w14:textId="77777777" w:rsidR="00CB5ED2" w:rsidRDefault="00CB5ED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43018872" w14:textId="29101B59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Invariants (Non-Negotiable)</w:t>
      </w:r>
    </w:p>
    <w:p w14:paraId="2CDC5CA6" w14:textId="77777777" w:rsidR="00D21AA5" w:rsidRPr="00E61D06" w:rsidRDefault="00D21AA5" w:rsidP="00D21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or infinite values may enter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unless explicitly masked.</w:t>
      </w:r>
    </w:p>
    <w:p w14:paraId="1CDB20FA" w14:textId="77777777" w:rsidR="00D21AA5" w:rsidRPr="00E61D06" w:rsidRDefault="00D21AA5" w:rsidP="00D21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Probability distributions must be normalized and internally ordered.</w:t>
      </w:r>
    </w:p>
    <w:p w14:paraId="1D8CD40A" w14:textId="77777777" w:rsidR="00D21AA5" w:rsidRPr="00E61D06" w:rsidRDefault="00D21AA5" w:rsidP="00D21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Risk limits must be finite and enforceable.</w:t>
      </w:r>
    </w:p>
    <w:p w14:paraId="3EAF4678" w14:textId="77777777" w:rsidR="00D21AA5" w:rsidRPr="00E61D06" w:rsidRDefault="00D21AA5" w:rsidP="00D21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Latency and lag must be non-negative and monotonic.</w:t>
      </w:r>
    </w:p>
    <w:p w14:paraId="652F4454" w14:textId="77777777" w:rsidR="00D21AA5" w:rsidRPr="00E61D06" w:rsidRDefault="00D21AA5" w:rsidP="00D21A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Any invariant violation triggers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fail-closed behavior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(no new trades).</w:t>
      </w:r>
    </w:p>
    <w:p w14:paraId="615D4971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2FD3072E">
          <v:rect id="_x0000_i1029" style="width:0;height:1.5pt" o:hralign="center" o:hrstd="t" o:hr="t" fillcolor="#a0a0a0" stroked="f"/>
        </w:pict>
      </w:r>
    </w:p>
    <w:p w14:paraId="52D768B7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 Guarantees</w:t>
      </w:r>
    </w:p>
    <w:p w14:paraId="2CD90734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guarantees:</w:t>
      </w:r>
    </w:p>
    <w:p w14:paraId="1CF61DC0" w14:textId="77777777" w:rsidR="00D21AA5" w:rsidRPr="00E61D06" w:rsidRDefault="00D21AA5" w:rsidP="00D21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Deterministic handling of compliant Gaussian inputs</w:t>
      </w:r>
    </w:p>
    <w:p w14:paraId="28E009A5" w14:textId="77777777" w:rsidR="00D21AA5" w:rsidRPr="00E61D06" w:rsidRDefault="00D21AA5" w:rsidP="00D21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Traceability from input payload to final order decision</w:t>
      </w:r>
    </w:p>
    <w:p w14:paraId="35DECFF1" w14:textId="77777777" w:rsidR="00D21AA5" w:rsidRPr="00E61D06" w:rsidRDefault="00D21AA5" w:rsidP="00D21A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Enforcement of all risk and alignment constraints</w:t>
      </w:r>
    </w:p>
    <w:p w14:paraId="3FDC1197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guarantees:</w:t>
      </w:r>
    </w:p>
    <w:p w14:paraId="789B9ACE" w14:textId="77777777" w:rsidR="00D21AA5" w:rsidRPr="00E61D06" w:rsidRDefault="00D21AA5" w:rsidP="00D21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Schema compliance</w:t>
      </w:r>
    </w:p>
    <w:p w14:paraId="048EBF95" w14:textId="77777777" w:rsidR="00D21AA5" w:rsidRPr="00E61D06" w:rsidRDefault="00D21AA5" w:rsidP="00D21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Explicit timestamping and lag reporting</w:t>
      </w:r>
    </w:p>
    <w:p w14:paraId="73587C96" w14:textId="77777777" w:rsidR="00D21AA5" w:rsidRPr="00E61D06" w:rsidRDefault="00D21AA5" w:rsidP="00D21A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Stable versioning and backward compatibility discipline</w:t>
      </w:r>
    </w:p>
    <w:p w14:paraId="24B06EF2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4DC736F8">
          <v:rect id="_x0000_i1030" style="width:0;height:1.5pt" o:hralign="center" o:hrstd="t" o:hr="t" fillcolor="#a0a0a0" stroked="f"/>
        </w:pict>
      </w:r>
    </w:p>
    <w:p w14:paraId="1F9CF57C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Promotion Requirements</w:t>
      </w:r>
    </w:p>
    <w:p w14:paraId="63825908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Before Gaussian inputs may be used in paper or live trading:</w:t>
      </w:r>
    </w:p>
    <w:p w14:paraId="1A9E7095" w14:textId="77777777" w:rsidR="00D21AA5" w:rsidRPr="00E61D06" w:rsidRDefault="00D21AA5" w:rsidP="00D21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Contract conformance tests must pass</w:t>
      </w:r>
    </w:p>
    <w:p w14:paraId="4B51D474" w14:textId="77777777" w:rsidR="00D21AA5" w:rsidRPr="00E61D06" w:rsidRDefault="00D21AA5" w:rsidP="00D21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Regression outputs must match golden datasets</w:t>
      </w:r>
    </w:p>
    <w:p w14:paraId="1D503531" w14:textId="77777777" w:rsidR="00D21AA5" w:rsidRPr="00E61D06" w:rsidRDefault="00D21AA5" w:rsidP="00D21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Latency budgets must be met under load</w:t>
      </w:r>
    </w:p>
    <w:p w14:paraId="2915647B" w14:textId="77777777" w:rsidR="00D21AA5" w:rsidRPr="00E61D06" w:rsidRDefault="00D21AA5" w:rsidP="00D21A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Fail-closed behavior must be demonstrated</w:t>
      </w:r>
    </w:p>
    <w:p w14:paraId="34BC87B2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E9497F7">
          <v:rect id="_x0000_i1031" style="width:0;height:1.5pt" o:hralign="center" o:hrstd="t" o:hr="t" fillcolor="#a0a0a0" stroked="f"/>
        </w:pict>
      </w:r>
    </w:p>
    <w:p w14:paraId="3FAE764E" w14:textId="77777777" w:rsidR="00D21AA5" w:rsidRDefault="00D21AA5" w:rsidP="00D21AA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227F862D" w14:textId="77777777" w:rsidR="00D21AA5" w:rsidRDefault="00D21AA5" w:rsidP="00D21AA5">
      <w:pPr>
        <w:pStyle w:val="Heading1"/>
      </w:pPr>
      <w:r>
        <w:lastRenderedPageBreak/>
        <w:t>Appendix C — Joint Integration Timeline</w:t>
      </w:r>
    </w:p>
    <w:p w14:paraId="6DB7E1D9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(Parallel Workstreams and Promotion Gates)</w:t>
      </w:r>
    </w:p>
    <w:p w14:paraId="42602184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7CF29D24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This appendix defines a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shared execution timeline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showing how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and Gaussian teams can work in parallel while converging safely toward paper trading and live deployment.</w:t>
      </w:r>
    </w:p>
    <w:p w14:paraId="02836644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acts as the execution and validation backbone; Gaussian work proceeds independently but docks at defined milestones.</w:t>
      </w:r>
    </w:p>
    <w:p w14:paraId="05F6FFAB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596D0B2">
          <v:rect id="_x0000_i1032" style="width:0;height:1.5pt" o:hralign="center" o:hrstd="t" o:hr="t" fillcolor="#a0a0a0" stroked="f"/>
        </w:pict>
      </w:r>
    </w:p>
    <w:p w14:paraId="6FBB091B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Workstreams</w:t>
      </w:r>
    </w:p>
    <w:p w14:paraId="7559344D" w14:textId="77777777" w:rsidR="00D21AA5" w:rsidRPr="00E61D06" w:rsidRDefault="00D21AA5" w:rsidP="00D21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Workstream A — </w:t>
      </w:r>
      <w:proofErr w:type="spellStart"/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(Benchmark Spine)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Execution, risk enforcement, orchestration, validation</w:t>
      </w:r>
    </w:p>
    <w:p w14:paraId="7A38676E" w14:textId="77777777" w:rsidR="00D21AA5" w:rsidRPr="00E61D06" w:rsidRDefault="00D21AA5" w:rsidP="00D21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Workstream B — Gaussian (Analytics &amp; Forecasting)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Feature generation, probabilistic modeling, regime inference</w:t>
      </w:r>
    </w:p>
    <w:p w14:paraId="60E4D1BB" w14:textId="77777777" w:rsidR="00D21AA5" w:rsidRPr="00E61D06" w:rsidRDefault="00D21AA5" w:rsidP="00D21A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Workstream C — DevOps / Infrastructure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CI/CD, deployment, observability, broker connectivity</w:t>
      </w:r>
    </w:p>
    <w:p w14:paraId="454EECFE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15D12125">
          <v:rect id="_x0000_i1033" style="width:0;height:1.5pt" o:hralign="center" o:hrstd="t" o:hr="t" fillcolor="#a0a0a0" stroked="f"/>
        </w:pict>
      </w:r>
    </w:p>
    <w:p w14:paraId="7FE6A1FD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1 — Interface Contract Freeze</w:t>
      </w:r>
    </w:p>
    <w:p w14:paraId="4DE15F52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Establish stable schemas and invariants.</w:t>
      </w:r>
    </w:p>
    <w:p w14:paraId="5A12A2BB" w14:textId="77777777" w:rsidR="00D21AA5" w:rsidRPr="00E61D06" w:rsidRDefault="00D21AA5" w:rsidP="00D21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publishes the interface contract and validators.</w:t>
      </w:r>
    </w:p>
    <w:p w14:paraId="17F9C6E3" w14:textId="77777777" w:rsidR="00D21AA5" w:rsidRPr="00E61D06" w:rsidRDefault="00D21AA5" w:rsidP="00D21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implements payload emitters conforming to the contract.</w:t>
      </w:r>
    </w:p>
    <w:p w14:paraId="644FBBF8" w14:textId="77777777" w:rsidR="00D21AA5" w:rsidRPr="00E61D06" w:rsidRDefault="00D21AA5" w:rsidP="00D21A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enforces schema checks in CI.</w:t>
      </w:r>
    </w:p>
    <w:p w14:paraId="61EAFA33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A mutually accepted, versioned contract with sample payloads.</w:t>
      </w:r>
    </w:p>
    <w:p w14:paraId="0E8D5FF4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12F1522D">
          <v:rect id="_x0000_i1034" style="width:0;height:1.5pt" o:hralign="center" o:hrstd="t" o:hr="t" fillcolor="#a0a0a0" stroked="f"/>
        </w:pict>
      </w:r>
    </w:p>
    <w:p w14:paraId="60A6DCEB" w14:textId="77777777" w:rsidR="00D21AA5" w:rsidRDefault="00D21AA5" w:rsidP="00D21A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7C7615EF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Milestone 2 — Strategy and FIS Docking</w:t>
      </w:r>
    </w:p>
    <w:p w14:paraId="5934679C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Fuse Gaussian outputs into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intelligence layers.</w:t>
      </w:r>
    </w:p>
    <w:p w14:paraId="4A77BA31" w14:textId="77777777" w:rsidR="00D21AA5" w:rsidRPr="00E61D06" w:rsidRDefault="00D21AA5" w:rsidP="00D21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completes analytics integration and FIS tests.</w:t>
      </w:r>
    </w:p>
    <w:p w14:paraId="6E2EC091" w14:textId="77777777" w:rsidR="00D21AA5" w:rsidRPr="00E61D06" w:rsidRDefault="00D21AA5" w:rsidP="00D21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Gaussian delivers stable, </w:t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timestamp-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>correct features and forecasts.</w:t>
      </w:r>
    </w:p>
    <w:p w14:paraId="129E618E" w14:textId="77777777" w:rsidR="00D21AA5" w:rsidRPr="00E61D06" w:rsidRDefault="00D21AA5" w:rsidP="00D21A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provisions telemetry pipelines and dashboards.</w:t>
      </w:r>
    </w:p>
    <w:p w14:paraId="61114732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Single-day end-to-end dry runs with full traceability.</w:t>
      </w:r>
    </w:p>
    <w:p w14:paraId="6EE5355C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4EEA31A2">
          <v:rect id="_x0000_i1035" style="width:0;height:1.5pt" o:hralign="center" o:hrstd="t" o:hr="t" fillcolor="#a0a0a0" stroked="f"/>
        </w:pict>
      </w:r>
    </w:p>
    <w:p w14:paraId="6A3CEF59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3 — Orchestration and Routing</w:t>
      </w:r>
    </w:p>
    <w:p w14:paraId="3EB71CF2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Transition from research flow to execution flow.</w:t>
      </w:r>
    </w:p>
    <w:p w14:paraId="11DE542C" w14:textId="77777777" w:rsidR="00D21AA5" w:rsidRPr="00E61D06" w:rsidRDefault="00D21AA5" w:rsidP="00D21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completes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TradingEngine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>, routing, and run modes.</w:t>
      </w:r>
    </w:p>
    <w:p w14:paraId="194FD0D0" w14:textId="77777777" w:rsidR="00D21AA5" w:rsidRPr="00E61D06" w:rsidRDefault="00D21AA5" w:rsidP="00D21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validates operational stability under execution cadence.</w:t>
      </w:r>
    </w:p>
    <w:p w14:paraId="260A7137" w14:textId="77777777" w:rsidR="00D21AA5" w:rsidRPr="00E61D06" w:rsidRDefault="00D21AA5" w:rsidP="00D21A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deploys paper broker adapters and secrets management.</w:t>
      </w:r>
    </w:p>
    <w:p w14:paraId="79A6008D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61D06">
        <w:rPr>
          <w:rFonts w:ascii="Times New Roman" w:eastAsia="Times New Roman" w:hAnsi="Times New Roman" w:cs="Times New Roman"/>
          <w:sz w:val="24"/>
          <w:szCs w:val="24"/>
        </w:rPr>
        <w:t>Multi-day</w:t>
      </w:r>
      <w:proofErr w:type="gram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backtests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using the same pipeline intended for paper trading.</w:t>
      </w:r>
    </w:p>
    <w:p w14:paraId="70701C8D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097EF0EB">
          <v:rect id="_x0000_i1036" style="width:0;height:1.5pt" o:hralign="center" o:hrstd="t" o:hr="t" fillcolor="#a0a0a0" stroked="f"/>
        </w:pict>
      </w:r>
    </w:p>
    <w:p w14:paraId="18044CD4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4 — Validation Gates</w:t>
      </w:r>
    </w:p>
    <w:p w14:paraId="78042160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Prove correctness, stability, and reproducibility.</w:t>
      </w:r>
    </w:p>
    <w:p w14:paraId="51816133" w14:textId="77777777" w:rsidR="00D21AA5" w:rsidRPr="00E61D06" w:rsidRDefault="00D21AA5" w:rsidP="00D21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executes end-to-end, regression, and performance tests.</w:t>
      </w:r>
    </w:p>
    <w:p w14:paraId="6B7ACF25" w14:textId="77777777" w:rsidR="00D21AA5" w:rsidRPr="00E61D06" w:rsidRDefault="00D21AA5" w:rsidP="00D21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Gaussian passes contract and latency conformance under load.</w:t>
      </w:r>
    </w:p>
    <w:p w14:paraId="6169B4AD" w14:textId="77777777" w:rsidR="00D21AA5" w:rsidRPr="00E61D06" w:rsidRDefault="00D21AA5" w:rsidP="00D21A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DevOps wires CI/CD promotion gates.</w:t>
      </w:r>
    </w:p>
    <w:p w14:paraId="2F4542F7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A “Paper-Ready” release artifact.</w:t>
      </w:r>
    </w:p>
    <w:p w14:paraId="0F26C9B6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5ED0B69">
          <v:rect id="_x0000_i1037" style="width:0;height:1.5pt" o:hralign="center" o:hrstd="t" o:hr="t" fillcolor="#a0a0a0" stroked="f"/>
        </w:pict>
      </w:r>
    </w:p>
    <w:p w14:paraId="5E1505A2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 5 — Paper Trading</w:t>
      </w:r>
    </w:p>
    <w:p w14:paraId="678612BB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Week 1: Stability Focus</w:t>
      </w:r>
    </w:p>
    <w:p w14:paraId="1D898BF1" w14:textId="77777777" w:rsidR="00D21AA5" w:rsidRPr="00E61D06" w:rsidRDefault="00D21AA5" w:rsidP="00D21A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Latency, disconnect handling, fail-closed verification</w:t>
      </w:r>
    </w:p>
    <w:p w14:paraId="40CA67A1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Week 2: Economic Reality</w:t>
      </w:r>
    </w:p>
    <w:p w14:paraId="2FF6657A" w14:textId="77777777" w:rsidR="00D21AA5" w:rsidRPr="00E61D06" w:rsidRDefault="00D21AA5" w:rsidP="00D21A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P&amp;L reconciliation, slippage realism, drawdown behavior</w:t>
      </w:r>
    </w:p>
    <w:p w14:paraId="1A9FD8EE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Formal Go / No-Go decision for live trading.</w:t>
      </w:r>
    </w:p>
    <w:p w14:paraId="0151F39D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51DBA325">
          <v:rect id="_x0000_i1038" style="width:0;height:1.5pt" o:hralign="center" o:hrstd="t" o:hr="t" fillcolor="#a0a0a0" stroked="f"/>
        </w:pict>
      </w:r>
    </w:p>
    <w:p w14:paraId="3FFB76A6" w14:textId="77777777" w:rsidR="00D21AA5" w:rsidRDefault="00D21AA5" w:rsidP="00D21AA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6411DF63" w14:textId="77777777" w:rsidR="00D21AA5" w:rsidRDefault="00D21AA5" w:rsidP="00D21AA5">
      <w:pPr>
        <w:pStyle w:val="Heading1"/>
      </w:pPr>
      <w:r>
        <w:lastRenderedPageBreak/>
        <w:t xml:space="preserve">Appendix D — Why </w:t>
      </w:r>
      <w:proofErr w:type="spellStart"/>
      <w:r>
        <w:t>CondorBrain</w:t>
      </w:r>
      <w:proofErr w:type="spellEnd"/>
      <w:r>
        <w:t xml:space="preserve"> Is the Benchmark</w:t>
      </w:r>
    </w:p>
    <w:p w14:paraId="7AC6050B" w14:textId="4499A0B8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(Technical Rationale)</w:t>
      </w:r>
    </w:p>
    <w:p w14:paraId="19BC79F9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14:paraId="0B4080CB" w14:textId="77777777" w:rsidR="00D21AA5" w:rsidRDefault="00D21AA5" w:rsidP="00D21AA5">
      <w:proofErr w:type="spellStart"/>
      <w:r>
        <w:t>CondorBrain</w:t>
      </w:r>
      <w:proofErr w:type="spellEnd"/>
      <w:r>
        <w:t xml:space="preserve"> is the benchmark because it already encapsulates the hardest institutional deployment problems: market realism, lag-aware alignment, deterministic risk enforcement, traceability, and auditability. Gaussian innovation is measured under identical execution constraints to ensure observed performance improvements are real, repeatable, and safe to deploy.</w:t>
      </w:r>
    </w:p>
    <w:p w14:paraId="0D0918E0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720EA0C6">
          <v:rect id="_x0000_i1039" style="width:0;height:1.5pt" o:hralign="center" o:hrstd="t" o:hr="t" fillcolor="#a0a0a0" stroked="f"/>
        </w:pict>
      </w:r>
    </w:p>
    <w:p w14:paraId="310BFF40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Benchmarking Requires More Than Model Accuracy</w:t>
      </w:r>
    </w:p>
    <w:p w14:paraId="344C04BB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High-quality models frequently fail in production due to:</w:t>
      </w:r>
    </w:p>
    <w:p w14:paraId="635E428A" w14:textId="77777777" w:rsidR="00D21AA5" w:rsidRPr="00E61D06" w:rsidRDefault="00D21AA5" w:rsidP="00D21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stale or misaligned data,</w:t>
      </w:r>
    </w:p>
    <w:p w14:paraId="322B8259" w14:textId="77777777" w:rsidR="00D21AA5" w:rsidRPr="00E61D06" w:rsidRDefault="00D21AA5" w:rsidP="00D21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unrealistic execution assumptions,</w:t>
      </w:r>
    </w:p>
    <w:p w14:paraId="4A345E7B" w14:textId="77777777" w:rsidR="00D21AA5" w:rsidRPr="00E61D06" w:rsidRDefault="00D21AA5" w:rsidP="00D21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uncontrolled portfolio risk,</w:t>
      </w:r>
    </w:p>
    <w:p w14:paraId="56197FD4" w14:textId="77777777" w:rsidR="00D21AA5" w:rsidRPr="00E61D06" w:rsidRDefault="00D21AA5" w:rsidP="00D21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lack of fail-safe behavior,</w:t>
      </w:r>
    </w:p>
    <w:p w14:paraId="2B49DE7B" w14:textId="77777777" w:rsidR="00D21AA5" w:rsidRPr="00E61D06" w:rsidRDefault="00D21AA5" w:rsidP="00D21A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absence of reproducible validation.</w:t>
      </w:r>
    </w:p>
    <w:p w14:paraId="4BE8CED4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explicitly addresses these issues. Gaussian models must therefore demonstrate value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under the same constraints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to be meaningfully benchmarked.</w:t>
      </w:r>
    </w:p>
    <w:p w14:paraId="3D53730F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363AC012">
          <v:rect id="_x0000_i1040" style="width:0;height:1.5pt" o:hralign="center" o:hrstd="t" o:hr="t" fillcolor="#a0a0a0" stroked="f"/>
        </w:pict>
      </w:r>
    </w:p>
    <w:p w14:paraId="4571CA56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Institutional Guardrails</w:t>
      </w:r>
    </w:p>
    <w:p w14:paraId="396C0E73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already provides:</w:t>
      </w:r>
    </w:p>
    <w:p w14:paraId="01731704" w14:textId="77777777" w:rsidR="00D21AA5" w:rsidRPr="00E61D06" w:rsidRDefault="00D21AA5" w:rsidP="00D21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Market realism (slippage, commissions, realized volatility)</w:t>
      </w:r>
    </w:p>
    <w:p w14:paraId="3746A1A3" w14:textId="77777777" w:rsidR="00D21AA5" w:rsidRPr="00E61D06" w:rsidRDefault="00D21AA5" w:rsidP="00D21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Lag-aware alignment with explicit decay and cutoff policies</w:t>
      </w:r>
    </w:p>
    <w:p w14:paraId="2BB3B200" w14:textId="77777777" w:rsidR="00D21AA5" w:rsidRPr="00E61D06" w:rsidRDefault="00D21AA5" w:rsidP="00D21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Portfolio-level risk aggregation and invariant enforcement</w:t>
      </w:r>
    </w:p>
    <w:p w14:paraId="27C06964" w14:textId="77777777" w:rsidR="00D21AA5" w:rsidRPr="00E61D06" w:rsidRDefault="00D21AA5" w:rsidP="00D21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Deterministic traceability from data to decision</w:t>
      </w:r>
    </w:p>
    <w:p w14:paraId="1B97EE6F" w14:textId="77777777" w:rsidR="00D21AA5" w:rsidRPr="00E61D06" w:rsidRDefault="00D21AA5" w:rsidP="00D21A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Structured validation gates before capital exposure</w:t>
      </w:r>
    </w:p>
    <w:p w14:paraId="2EA2C848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These controls typically represent the largest hidden cost and risk in deployment.</w:t>
      </w:r>
    </w:p>
    <w:p w14:paraId="35EA2F39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06E73B00">
          <v:rect id="_x0000_i1041" style="width:0;height:1.5pt" o:hralign="center" o:hrstd="t" o:hr="t" fillcolor="#a0a0a0" stroked="f"/>
        </w:pict>
      </w:r>
    </w:p>
    <w:p w14:paraId="2306EB71" w14:textId="77777777" w:rsidR="00D21AA5" w:rsidRDefault="00D21AA5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742278F8" w14:textId="54B79CCB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Auditability and Reproducibility</w:t>
      </w:r>
    </w:p>
    <w:p w14:paraId="6987A512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 true benchmark system must support:</w:t>
      </w:r>
    </w:p>
    <w:p w14:paraId="13D4A1CC" w14:textId="77777777" w:rsidR="00D21AA5" w:rsidRPr="00E61D06" w:rsidRDefault="00D21AA5" w:rsidP="00D21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deterministic replay,</w:t>
      </w:r>
    </w:p>
    <w:p w14:paraId="5F4FC50E" w14:textId="77777777" w:rsidR="00D21AA5" w:rsidRPr="00E61D06" w:rsidRDefault="00D21AA5" w:rsidP="00D21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versioned schemas,</w:t>
      </w:r>
    </w:p>
    <w:p w14:paraId="1247A1E6" w14:textId="77777777" w:rsidR="00D21AA5" w:rsidRPr="00E61D06" w:rsidRDefault="00D21AA5" w:rsidP="00D21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golden regression datasets,</w:t>
      </w:r>
    </w:p>
    <w:p w14:paraId="611AB90A" w14:textId="77777777" w:rsidR="00D21AA5" w:rsidRPr="00E61D06" w:rsidRDefault="00D21AA5" w:rsidP="00D21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measurable latency and stability.</w:t>
      </w:r>
    </w:p>
    <w:p w14:paraId="59398F38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CondorBrain’s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architecture is designed around these properties, enabling credible internal and external review.</w:t>
      </w:r>
    </w:p>
    <w:p w14:paraId="10384857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6FCF14E9">
          <v:rect id="_x0000_i1042" style="width:0;height:1.5pt" o:hralign="center" o:hrstd="t" o:hr="t" fillcolor="#a0a0a0" stroked="f"/>
        </w:pict>
      </w:r>
    </w:p>
    <w:p w14:paraId="5A3BE1C8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Organizational Efficiency</w:t>
      </w:r>
    </w:p>
    <w:p w14:paraId="4651ADFE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as the benchmark:</w:t>
      </w:r>
    </w:p>
    <w:p w14:paraId="468CB82C" w14:textId="77777777" w:rsidR="00D21AA5" w:rsidRPr="00E61D06" w:rsidRDefault="00D21AA5" w:rsidP="00D21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Prevents duplicated execution and risk infrastructure</w:t>
      </w:r>
    </w:p>
    <w:p w14:paraId="1F825417" w14:textId="77777777" w:rsidR="00D21AA5" w:rsidRPr="00E61D06" w:rsidRDefault="00D21AA5" w:rsidP="00D21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Allows Gaussian teams to focus on signal quality</w:t>
      </w:r>
    </w:p>
    <w:p w14:paraId="65E0C39B" w14:textId="77777777" w:rsidR="00D21AA5" w:rsidRPr="00E61D06" w:rsidRDefault="00D21AA5" w:rsidP="00D21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Centralizes validation and compliance effort</w:t>
      </w:r>
    </w:p>
    <w:p w14:paraId="7ABCF58F" w14:textId="77777777" w:rsidR="00D21AA5" w:rsidRPr="00E61D06" w:rsidRDefault="00D21AA5" w:rsidP="00D21A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t>Reduces operational risk during iteration</w:t>
      </w:r>
    </w:p>
    <w:p w14:paraId="3E257080" w14:textId="77777777" w:rsidR="00D21AA5" w:rsidRPr="00E61D06" w:rsidRDefault="00D21AA5" w:rsidP="00D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6">
        <w:rPr>
          <w:rFonts w:ascii="Times New Roman" w:eastAsia="Times New Roman" w:hAnsi="Times New Roman" w:cs="Times New Roman"/>
          <w:sz w:val="24"/>
          <w:szCs w:val="24"/>
        </w:rPr>
        <w:pict w14:anchorId="76622B66">
          <v:rect id="_x0000_i1043" style="width:0;height:1.5pt" o:hralign="center" o:hrstd="t" o:hr="t" fillcolor="#a0a0a0" stroked="f"/>
        </w:pict>
      </w:r>
    </w:p>
    <w:p w14:paraId="3D59BA96" w14:textId="77777777" w:rsidR="00D21AA5" w:rsidRPr="00E61D06" w:rsidRDefault="00D21AA5" w:rsidP="00D21A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1D06">
        <w:rPr>
          <w:rFonts w:ascii="Times New Roman" w:eastAsia="Times New Roman" w:hAnsi="Times New Roman" w:cs="Times New Roman"/>
          <w:b/>
          <w:bCs/>
          <w:sz w:val="36"/>
          <w:szCs w:val="36"/>
        </w:rPr>
        <w:t>Strategic Conclusion</w:t>
      </w:r>
    </w:p>
    <w:p w14:paraId="3657EF66" w14:textId="77777777" w:rsidR="00D21AA5" w:rsidRPr="00E61D06" w:rsidRDefault="00D21AA5" w:rsidP="00D21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1D06">
        <w:rPr>
          <w:rFonts w:ascii="Times New Roman" w:eastAsia="Times New Roman" w:hAnsi="Times New Roman" w:cs="Times New Roman"/>
          <w:sz w:val="24"/>
          <w:szCs w:val="24"/>
        </w:rPr>
        <w:t>CondorBrain</w:t>
      </w:r>
      <w:proofErr w:type="spellEnd"/>
      <w:r w:rsidRPr="00E61D06">
        <w:rPr>
          <w:rFonts w:ascii="Times New Roman" w:eastAsia="Times New Roman" w:hAnsi="Times New Roman" w:cs="Times New Roman"/>
          <w:sz w:val="24"/>
          <w:szCs w:val="24"/>
        </w:rPr>
        <w:t xml:space="preserve"> defines the </w:t>
      </w:r>
      <w:r w:rsidRPr="00E61D06">
        <w:rPr>
          <w:rFonts w:ascii="Times New Roman" w:eastAsia="Times New Roman" w:hAnsi="Times New Roman" w:cs="Times New Roman"/>
          <w:b/>
          <w:bCs/>
          <w:sz w:val="24"/>
          <w:szCs w:val="24"/>
        </w:rPr>
        <w:t>deployable standard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61D06">
        <w:rPr>
          <w:rFonts w:ascii="Times New Roman" w:eastAsia="Times New Roman" w:hAnsi="Times New Roman" w:cs="Times New Roman"/>
          <w:sz w:val="24"/>
          <w:szCs w:val="24"/>
        </w:rPr>
        <w:br/>
        <w:t>realistic execution, enforceable risk, time correctness, and testable guarantees.</w:t>
      </w:r>
    </w:p>
    <w:p w14:paraId="0AF159C6" w14:textId="57D3B5D7" w:rsidR="00D21AA5" w:rsidRPr="00D21AA5" w:rsidRDefault="00D21AA5" w:rsidP="00D21AA5">
      <w:pPr>
        <w:pStyle w:val="Heading1"/>
        <w:rPr>
          <w:color w:val="388600"/>
        </w:rPr>
      </w:pPr>
      <w:r w:rsidRPr="00D21AA5">
        <w:rPr>
          <w:rFonts w:ascii="Times New Roman" w:eastAsia="Times New Roman" w:hAnsi="Times New Roman" w:cs="Times New Roman"/>
          <w:color w:val="388600"/>
          <w:sz w:val="24"/>
          <w:szCs w:val="24"/>
        </w:rPr>
        <w:t xml:space="preserve">Gaussian innovation should integrate through </w:t>
      </w:r>
      <w:proofErr w:type="spellStart"/>
      <w:r w:rsidRPr="00D21AA5">
        <w:rPr>
          <w:rFonts w:ascii="Times New Roman" w:eastAsia="Times New Roman" w:hAnsi="Times New Roman" w:cs="Times New Roman"/>
          <w:color w:val="388600"/>
          <w:sz w:val="24"/>
          <w:szCs w:val="24"/>
        </w:rPr>
        <w:t>CondorBrain’s</w:t>
      </w:r>
      <w:proofErr w:type="spellEnd"/>
      <w:r w:rsidRPr="00D21AA5">
        <w:rPr>
          <w:rFonts w:ascii="Times New Roman" w:eastAsia="Times New Roman" w:hAnsi="Times New Roman" w:cs="Times New Roman"/>
          <w:color w:val="388600"/>
          <w:sz w:val="24"/>
          <w:szCs w:val="24"/>
        </w:rPr>
        <w:t xml:space="preserve"> contracts and demonstrate measurable improvement under identical execution constraints. This ensures that any observed performance lift is real, repeatable, and safe to deplo</w:t>
      </w:r>
      <w:r w:rsidRPr="00D21AA5">
        <w:rPr>
          <w:rFonts w:ascii="Times New Roman" w:eastAsia="Times New Roman" w:hAnsi="Times New Roman" w:cs="Times New Roman"/>
          <w:color w:val="388600"/>
          <w:sz w:val="24"/>
          <w:szCs w:val="24"/>
        </w:rPr>
        <w:t>y.</w:t>
      </w:r>
    </w:p>
    <w:p w14:paraId="438348FD" w14:textId="77777777" w:rsidR="00C11B60" w:rsidRDefault="00000000">
      <w:r>
        <w:br w:type="page"/>
      </w:r>
    </w:p>
    <w:p w14:paraId="1E93F245" w14:textId="77777777" w:rsidR="00C11B60" w:rsidRDefault="00000000">
      <w:pPr>
        <w:pStyle w:val="Heading1"/>
      </w:pPr>
      <w:r>
        <w:lastRenderedPageBreak/>
        <w:t>Visual Gantt Chart – Path to Live Trading</w:t>
      </w:r>
    </w:p>
    <w:p w14:paraId="2CC20B2C" w14:textId="77777777" w:rsidR="00C11B60" w:rsidRDefault="00000000">
      <w:r>
        <w:t>The chart below provides a visual timeline from engineering completion through paper trading.</w:t>
      </w:r>
    </w:p>
    <w:p w14:paraId="2B33631D" w14:textId="77777777" w:rsidR="00C11B60" w:rsidRDefault="00000000">
      <w:r>
        <w:rPr>
          <w:noProof/>
        </w:rPr>
        <w:drawing>
          <wp:inline distT="0" distB="0" distL="0" distR="0" wp14:anchorId="0335E411" wp14:editId="457B0843">
            <wp:extent cx="54864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dorbrain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17FD" w14:textId="77777777" w:rsidR="00C11B60" w:rsidRDefault="00000000">
      <w:pPr>
        <w:pStyle w:val="Heading1"/>
      </w:pPr>
      <w:r>
        <w:t>Schema Summary Table (Gaussian ↔ CondorBrain)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9"/>
        <w:gridCol w:w="2156"/>
        <w:gridCol w:w="2158"/>
        <w:gridCol w:w="2157"/>
      </w:tblGrid>
      <w:tr w:rsidR="00C11B60" w14:paraId="7BE6C0FD" w14:textId="77777777" w:rsidTr="00D2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9B378D" w14:textId="77777777" w:rsidR="00C11B60" w:rsidRDefault="00000000">
            <w:r>
              <w:t>Schema</w:t>
            </w:r>
          </w:p>
        </w:tc>
        <w:tc>
          <w:tcPr>
            <w:tcW w:w="2160" w:type="dxa"/>
          </w:tcPr>
          <w:p w14:paraId="64AEF2C3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Purpose</w:t>
            </w:r>
          </w:p>
        </w:tc>
        <w:tc>
          <w:tcPr>
            <w:tcW w:w="2160" w:type="dxa"/>
          </w:tcPr>
          <w:p w14:paraId="26A41B2D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Required Fields</w:t>
            </w:r>
          </w:p>
        </w:tc>
        <w:tc>
          <w:tcPr>
            <w:tcW w:w="2160" w:type="dxa"/>
          </w:tcPr>
          <w:p w14:paraId="00B35C40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Hard Invariants</w:t>
            </w:r>
          </w:p>
        </w:tc>
      </w:tr>
      <w:tr w:rsidR="00C11B60" w14:paraId="2A7E14D0" w14:textId="77777777" w:rsidTr="00D2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869D86" w14:textId="77777777" w:rsidR="00C11B60" w:rsidRDefault="00000000">
            <w:r>
              <w:t>FeatureVector</w:t>
            </w:r>
          </w:p>
        </w:tc>
        <w:tc>
          <w:tcPr>
            <w:tcW w:w="2160" w:type="dxa"/>
          </w:tcPr>
          <w:p w14:paraId="6D560D8C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Strategy gating &amp; signals</w:t>
            </w:r>
          </w:p>
        </w:tc>
        <w:tc>
          <w:tcPr>
            <w:tcW w:w="2160" w:type="dxa"/>
          </w:tcPr>
          <w:p w14:paraId="195294F8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features, event_ts, produced_ts, lag_sec</w:t>
            </w:r>
          </w:p>
        </w:tc>
        <w:tc>
          <w:tcPr>
            <w:tcW w:w="2160" w:type="dxa"/>
          </w:tcPr>
          <w:p w14:paraId="1029B128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NaN/Inf, lag policy enforced</w:t>
            </w:r>
          </w:p>
        </w:tc>
      </w:tr>
      <w:tr w:rsidR="00C11B60" w14:paraId="5CE08FA1" w14:textId="77777777" w:rsidTr="00D2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F13BC4" w14:textId="77777777" w:rsidR="00C11B60" w:rsidRDefault="00000000">
            <w:r>
              <w:t>ForecastBundle</w:t>
            </w:r>
          </w:p>
        </w:tc>
        <w:tc>
          <w:tcPr>
            <w:tcW w:w="2160" w:type="dxa"/>
          </w:tcPr>
          <w:p w14:paraId="5E8E9DA0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Sizing &amp; regime inference</w:t>
            </w:r>
          </w:p>
        </w:tc>
        <w:tc>
          <w:tcPr>
            <w:tcW w:w="2160" w:type="dxa"/>
          </w:tcPr>
          <w:p w14:paraId="2041F1A6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mean, stdev, quantiles, regime_probs</w:t>
            </w:r>
          </w:p>
        </w:tc>
        <w:tc>
          <w:tcPr>
            <w:tcW w:w="2160" w:type="dxa"/>
          </w:tcPr>
          <w:p w14:paraId="1CE01DB6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Quantile ordering, probs sum to 1</w:t>
            </w:r>
          </w:p>
        </w:tc>
      </w:tr>
      <w:tr w:rsidR="00C11B60" w14:paraId="49EDF572" w14:textId="77777777" w:rsidTr="00D2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2FC64" w14:textId="77777777" w:rsidR="00C11B60" w:rsidRDefault="00000000">
            <w:r>
              <w:t>RiskEnvelope</w:t>
            </w:r>
          </w:p>
        </w:tc>
        <w:tc>
          <w:tcPr>
            <w:tcW w:w="2160" w:type="dxa"/>
          </w:tcPr>
          <w:p w14:paraId="5DC94731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risk limits</w:t>
            </w:r>
          </w:p>
        </w:tc>
        <w:tc>
          <w:tcPr>
            <w:tcW w:w="2160" w:type="dxa"/>
          </w:tcPr>
          <w:p w14:paraId="0DBD0BDB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Greek caps, max loss, stress scenarios</w:t>
            </w:r>
          </w:p>
        </w:tc>
        <w:tc>
          <w:tcPr>
            <w:tcW w:w="2160" w:type="dxa"/>
          </w:tcPr>
          <w:p w14:paraId="287C7700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Fail-closed on violation</w:t>
            </w:r>
          </w:p>
        </w:tc>
      </w:tr>
    </w:tbl>
    <w:p w14:paraId="48EDE3F7" w14:textId="77777777" w:rsidR="00C11B60" w:rsidRDefault="00000000">
      <w:r>
        <w:br w:type="page"/>
      </w:r>
    </w:p>
    <w:p w14:paraId="694F547E" w14:textId="77777777" w:rsidR="00C11B60" w:rsidRDefault="00000000">
      <w:pPr>
        <w:pStyle w:val="Heading1"/>
      </w:pPr>
      <w:r>
        <w:lastRenderedPageBreak/>
        <w:t>Go / No-Go Sign-Off Page</w:t>
      </w:r>
    </w:p>
    <w:p w14:paraId="236956D8" w14:textId="77777777" w:rsidR="00C11B60" w:rsidRDefault="00000000">
      <w:r>
        <w:t>Live trading authorization requires unanimous approval from the following roles, confirming that all engineering, risk, and validation gates have passed.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C11B60" w14:paraId="62BE3543" w14:textId="77777777" w:rsidTr="00D21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5539E" w14:textId="77777777" w:rsidR="00C11B60" w:rsidRDefault="00000000">
            <w:r>
              <w:t>Role</w:t>
            </w:r>
          </w:p>
        </w:tc>
        <w:tc>
          <w:tcPr>
            <w:tcW w:w="2880" w:type="dxa"/>
          </w:tcPr>
          <w:p w14:paraId="67D5A23F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80" w:type="dxa"/>
          </w:tcPr>
          <w:p w14:paraId="09BE4087" w14:textId="77777777" w:rsidR="00C11B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 / Date</w:t>
            </w:r>
          </w:p>
        </w:tc>
      </w:tr>
      <w:tr w:rsidR="00C11B60" w14:paraId="21FB837E" w14:textId="77777777" w:rsidTr="00D2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E2A5A" w14:textId="77777777" w:rsidR="00C11B60" w:rsidRDefault="00000000">
            <w:r>
              <w:t>Lead Quant / Architect</w:t>
            </w:r>
          </w:p>
        </w:tc>
        <w:tc>
          <w:tcPr>
            <w:tcW w:w="2880" w:type="dxa"/>
          </w:tcPr>
          <w:p w14:paraId="587B7E75" w14:textId="7A25DF68" w:rsidR="00C11B60" w:rsidRDefault="00D2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Chris Peters</w:t>
            </w:r>
          </w:p>
        </w:tc>
        <w:tc>
          <w:tcPr>
            <w:tcW w:w="2880" w:type="dxa"/>
          </w:tcPr>
          <w:p w14:paraId="14AF3E73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C11B60" w14:paraId="56CC07DF" w14:textId="77777777" w:rsidTr="00D2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037B7" w14:textId="77777777" w:rsidR="00C11B60" w:rsidRDefault="00000000">
            <w:r>
              <w:t>DevOps Lead</w:t>
            </w:r>
          </w:p>
        </w:tc>
        <w:tc>
          <w:tcPr>
            <w:tcW w:w="2880" w:type="dxa"/>
          </w:tcPr>
          <w:p w14:paraId="42963123" w14:textId="396CD40A" w:rsidR="00C11B60" w:rsidRDefault="00D2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John Draper</w:t>
            </w:r>
          </w:p>
        </w:tc>
        <w:tc>
          <w:tcPr>
            <w:tcW w:w="2880" w:type="dxa"/>
          </w:tcPr>
          <w:p w14:paraId="16E7D466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C11B60" w14:paraId="2FACC7C3" w14:textId="77777777" w:rsidTr="00D21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6E667" w14:textId="77777777" w:rsidR="00C11B60" w:rsidRDefault="00000000">
            <w:r>
              <w:t>Risk &amp; Compliance Lead</w:t>
            </w:r>
          </w:p>
        </w:tc>
        <w:tc>
          <w:tcPr>
            <w:tcW w:w="2880" w:type="dxa"/>
          </w:tcPr>
          <w:p w14:paraId="5CD1E8F0" w14:textId="3E3BE3F4" w:rsidR="00C11B60" w:rsidRDefault="00D21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Jerry Mahabub</w:t>
            </w:r>
          </w:p>
        </w:tc>
        <w:tc>
          <w:tcPr>
            <w:tcW w:w="2880" w:type="dxa"/>
          </w:tcPr>
          <w:p w14:paraId="7BE23233" w14:textId="77777777" w:rsidR="00C11B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C11B60" w14:paraId="66CFD891" w14:textId="77777777" w:rsidTr="00D21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E0C91" w14:textId="77777777" w:rsidR="00C11B60" w:rsidRDefault="00000000">
            <w:r>
              <w:t>Executive Sponsor</w:t>
            </w:r>
          </w:p>
        </w:tc>
        <w:tc>
          <w:tcPr>
            <w:tcW w:w="2880" w:type="dxa"/>
          </w:tcPr>
          <w:p w14:paraId="0114E009" w14:textId="4466A566" w:rsidR="00C11B60" w:rsidRDefault="00D21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Shawn ?</w:t>
            </w:r>
            <w:proofErr w:type="gramEnd"/>
          </w:p>
        </w:tc>
        <w:tc>
          <w:tcPr>
            <w:tcW w:w="2880" w:type="dxa"/>
          </w:tcPr>
          <w:p w14:paraId="18E36614" w14:textId="77777777" w:rsidR="00C11B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5D93FA1" w14:textId="60C5A7B7" w:rsidR="00C43387" w:rsidRDefault="00C43387" w:rsidP="00C43387">
      <w:pPr>
        <w:pStyle w:val="Heading1"/>
      </w:pPr>
      <w:r>
        <w:t>Gaussian Value Measurement Framework</w:t>
      </w:r>
    </w:p>
    <w:p w14:paraId="3A6ACF17" w14:textId="77777777" w:rsidR="00C43387" w:rsidRDefault="00C43387" w:rsidP="00C43387">
      <w:r>
        <w:t xml:space="preserve">Gaussian-side contributions are evaluated strictly on incremental value added relative to the </w:t>
      </w:r>
      <w:proofErr w:type="spellStart"/>
      <w:r>
        <w:t>CondorBrain</w:t>
      </w:r>
      <w:proofErr w:type="spellEnd"/>
      <w:r>
        <w:t xml:space="preserve"> benchmark, under identical execution, risk, and data constraints.</w:t>
      </w:r>
    </w:p>
    <w:p w14:paraId="2E9789C3" w14:textId="77777777" w:rsidR="00C43387" w:rsidRDefault="00C43387" w:rsidP="00C43387">
      <w:r>
        <w:t>Primary lift metrics include:</w:t>
      </w:r>
      <w:r>
        <w:br/>
        <w:t>- Risk-adjusted return improvement (Δ Sharpe, Δ Sortino)</w:t>
      </w:r>
      <w:r>
        <w:br/>
        <w:t>- Drawdown reduction under identical exposure</w:t>
      </w:r>
      <w:r>
        <w:br/>
        <w:t>- Stability metrics (lower variance of P&amp;L, fewer tail events)</w:t>
      </w:r>
      <w:r>
        <w:br/>
        <w:t>- Latency and freshness compliance</w:t>
      </w:r>
      <w:r>
        <w:br/>
      </w:r>
      <w:r>
        <w:br/>
        <w:t xml:space="preserve">All lift claims must be demonstrated through paired </w:t>
      </w:r>
      <w:proofErr w:type="spellStart"/>
      <w:r>
        <w:t>backtests</w:t>
      </w:r>
      <w:proofErr w:type="spellEnd"/>
      <w:r>
        <w:t>, paper trading comparison, and regression reproducibility.</w:t>
      </w:r>
    </w:p>
    <w:p w14:paraId="4EB42D12" w14:textId="068CC09B" w:rsidR="00C11B60" w:rsidRDefault="00C11B60"/>
    <w:sectPr w:rsidR="00C11B60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4004" w14:textId="77777777" w:rsidR="009F4F75" w:rsidRDefault="009F4F75" w:rsidP="00CB5ED2">
      <w:pPr>
        <w:spacing w:after="0" w:line="240" w:lineRule="auto"/>
      </w:pPr>
      <w:r>
        <w:separator/>
      </w:r>
    </w:p>
  </w:endnote>
  <w:endnote w:type="continuationSeparator" w:id="0">
    <w:p w14:paraId="463ADDE1" w14:textId="77777777" w:rsidR="009F4F75" w:rsidRDefault="009F4F75" w:rsidP="00CB5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79831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012A018" w14:textId="724287C6" w:rsidR="00CB5ED2" w:rsidRDefault="00CB5ED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DEB8D0" w14:textId="77777777" w:rsidR="00CB5ED2" w:rsidRDefault="00CB5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12E7" w14:textId="77777777" w:rsidR="009F4F75" w:rsidRDefault="009F4F75" w:rsidP="00CB5ED2">
      <w:pPr>
        <w:spacing w:after="0" w:line="240" w:lineRule="auto"/>
      </w:pPr>
      <w:r>
        <w:separator/>
      </w:r>
    </w:p>
  </w:footnote>
  <w:footnote w:type="continuationSeparator" w:id="0">
    <w:p w14:paraId="6385C2E3" w14:textId="77777777" w:rsidR="009F4F75" w:rsidRDefault="009F4F75" w:rsidP="00CB5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5296" w14:textId="3E3FF29E" w:rsidR="00CB5ED2" w:rsidRDefault="00CB5ED2">
    <w:pPr>
      <w:pStyle w:val="Header"/>
      <w:rPr>
        <w:sz w:val="20"/>
        <w:szCs w:val="20"/>
      </w:rPr>
    </w:pPr>
    <w:r w:rsidRPr="00CB5ED2">
      <w:rPr>
        <w:sz w:val="20"/>
        <w:szCs w:val="20"/>
      </w:rPr>
      <w:t xml:space="preserve">© 2026 by </w:t>
    </w:r>
    <w:r>
      <w:rPr>
        <w:sz w:val="20"/>
        <w:szCs w:val="20"/>
      </w:rPr>
      <w:t>Quantor-</w:t>
    </w:r>
    <w:proofErr w:type="spellStart"/>
    <w:r>
      <w:rPr>
        <w:sz w:val="20"/>
        <w:szCs w:val="20"/>
      </w:rPr>
      <w:t>MTFuzz</w:t>
    </w:r>
    <w:proofErr w:type="spellEnd"/>
    <w:r>
      <w:rPr>
        <w:sz w:val="20"/>
        <w:szCs w:val="20"/>
      </w:rPr>
      <w:t>™</w:t>
    </w:r>
    <w:r w:rsidRPr="00CB5ED2">
      <w:rPr>
        <w:sz w:val="20"/>
        <w:szCs w:val="20"/>
      </w:rPr>
      <w:tab/>
    </w:r>
    <w:r w:rsidRPr="00CB5ED2">
      <w:rPr>
        <w:b/>
        <w:bCs/>
        <w:color w:val="EE0000"/>
        <w:sz w:val="20"/>
        <w:szCs w:val="20"/>
      </w:rPr>
      <w:t>Confidential</w:t>
    </w:r>
    <w:r>
      <w:rPr>
        <w:b/>
        <w:bCs/>
        <w:color w:val="EE0000"/>
        <w:sz w:val="20"/>
        <w:szCs w:val="20"/>
      </w:rPr>
      <w:tab/>
    </w:r>
    <w:r w:rsidRPr="00CB5ED2">
      <w:rPr>
        <w:sz w:val="20"/>
        <w:szCs w:val="20"/>
      </w:rPr>
      <w:t>Author: Dr. T. Jerry Mahabub, Ph.D.</w:t>
    </w:r>
  </w:p>
  <w:p w14:paraId="7513CD76" w14:textId="0C1EB888" w:rsidR="00CB5ED2" w:rsidRPr="00CB5ED2" w:rsidRDefault="00CB5ED2">
    <w:pPr>
      <w:pStyle w:val="Header"/>
      <w:rPr>
        <w:sz w:val="18"/>
        <w:szCs w:val="18"/>
      </w:rPr>
    </w:pPr>
    <w:r w:rsidRPr="00CB5ED2">
      <w:rPr>
        <w:sz w:val="18"/>
        <w:szCs w:val="18"/>
      </w:rPr>
      <w:t>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B5E27"/>
    <w:multiLevelType w:val="multilevel"/>
    <w:tmpl w:val="A13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D6981"/>
    <w:multiLevelType w:val="multilevel"/>
    <w:tmpl w:val="786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613D7"/>
    <w:multiLevelType w:val="multilevel"/>
    <w:tmpl w:val="9C3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96D94"/>
    <w:multiLevelType w:val="multilevel"/>
    <w:tmpl w:val="455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30553"/>
    <w:multiLevelType w:val="multilevel"/>
    <w:tmpl w:val="03DC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22263"/>
    <w:multiLevelType w:val="multilevel"/>
    <w:tmpl w:val="ED4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0494D"/>
    <w:multiLevelType w:val="multilevel"/>
    <w:tmpl w:val="C4B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51897"/>
    <w:multiLevelType w:val="multilevel"/>
    <w:tmpl w:val="364A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71B09"/>
    <w:multiLevelType w:val="multilevel"/>
    <w:tmpl w:val="BB0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81C18"/>
    <w:multiLevelType w:val="multilevel"/>
    <w:tmpl w:val="FA2E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70AD8"/>
    <w:multiLevelType w:val="multilevel"/>
    <w:tmpl w:val="487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12353"/>
    <w:multiLevelType w:val="multilevel"/>
    <w:tmpl w:val="D2D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20B99"/>
    <w:multiLevelType w:val="multilevel"/>
    <w:tmpl w:val="1CC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968A1"/>
    <w:multiLevelType w:val="multilevel"/>
    <w:tmpl w:val="8FB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E715A"/>
    <w:multiLevelType w:val="multilevel"/>
    <w:tmpl w:val="B67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B65D8"/>
    <w:multiLevelType w:val="multilevel"/>
    <w:tmpl w:val="A4D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B4C0A"/>
    <w:multiLevelType w:val="multilevel"/>
    <w:tmpl w:val="A69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17142">
    <w:abstractNumId w:val="8"/>
  </w:num>
  <w:num w:numId="2" w16cid:durableId="473064429">
    <w:abstractNumId w:val="6"/>
  </w:num>
  <w:num w:numId="3" w16cid:durableId="2057778437">
    <w:abstractNumId w:val="5"/>
  </w:num>
  <w:num w:numId="4" w16cid:durableId="1178471644">
    <w:abstractNumId w:val="4"/>
  </w:num>
  <w:num w:numId="5" w16cid:durableId="1350643104">
    <w:abstractNumId w:val="7"/>
  </w:num>
  <w:num w:numId="6" w16cid:durableId="1439720371">
    <w:abstractNumId w:val="3"/>
  </w:num>
  <w:num w:numId="7" w16cid:durableId="1736005744">
    <w:abstractNumId w:val="2"/>
  </w:num>
  <w:num w:numId="8" w16cid:durableId="465316539">
    <w:abstractNumId w:val="1"/>
  </w:num>
  <w:num w:numId="9" w16cid:durableId="409277794">
    <w:abstractNumId w:val="0"/>
  </w:num>
  <w:num w:numId="10" w16cid:durableId="1787504165">
    <w:abstractNumId w:val="13"/>
  </w:num>
  <w:num w:numId="11" w16cid:durableId="1269892350">
    <w:abstractNumId w:val="12"/>
  </w:num>
  <w:num w:numId="12" w16cid:durableId="595360608">
    <w:abstractNumId w:val="17"/>
  </w:num>
  <w:num w:numId="13" w16cid:durableId="1870410246">
    <w:abstractNumId w:val="23"/>
  </w:num>
  <w:num w:numId="14" w16cid:durableId="1641105783">
    <w:abstractNumId w:val="20"/>
  </w:num>
  <w:num w:numId="15" w16cid:durableId="1210603848">
    <w:abstractNumId w:val="15"/>
  </w:num>
  <w:num w:numId="16" w16cid:durableId="1914849726">
    <w:abstractNumId w:val="24"/>
  </w:num>
  <w:num w:numId="17" w16cid:durableId="1650668212">
    <w:abstractNumId w:val="21"/>
  </w:num>
  <w:num w:numId="18" w16cid:durableId="352802762">
    <w:abstractNumId w:val="22"/>
  </w:num>
  <w:num w:numId="19" w16cid:durableId="708452947">
    <w:abstractNumId w:val="16"/>
  </w:num>
  <w:num w:numId="20" w16cid:durableId="448015857">
    <w:abstractNumId w:val="10"/>
  </w:num>
  <w:num w:numId="21" w16cid:durableId="1843859337">
    <w:abstractNumId w:val="18"/>
  </w:num>
  <w:num w:numId="22" w16cid:durableId="1576280226">
    <w:abstractNumId w:val="14"/>
  </w:num>
  <w:num w:numId="23" w16cid:durableId="922379622">
    <w:abstractNumId w:val="11"/>
  </w:num>
  <w:num w:numId="24" w16cid:durableId="1036856088">
    <w:abstractNumId w:val="19"/>
  </w:num>
  <w:num w:numId="25" w16cid:durableId="1503547724">
    <w:abstractNumId w:val="25"/>
  </w:num>
  <w:num w:numId="26" w16cid:durableId="18610920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7C58"/>
    <w:rsid w:val="008D38C6"/>
    <w:rsid w:val="0093353B"/>
    <w:rsid w:val="009F4F75"/>
    <w:rsid w:val="00AA1D8D"/>
    <w:rsid w:val="00B47730"/>
    <w:rsid w:val="00C11B60"/>
    <w:rsid w:val="00C43387"/>
    <w:rsid w:val="00CB0664"/>
    <w:rsid w:val="00CB5ED2"/>
    <w:rsid w:val="00D21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A763"/>
  <w14:defaultImageDpi w14:val="300"/>
  <w15:docId w15:val="{E88B9EE5-BE63-4D5A-A201-D6C842C6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21A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21A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1472</Words>
  <Characters>9822</Characters>
  <Application>Microsoft Office Word</Application>
  <DocSecurity>0</DocSecurity>
  <Lines>446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FIGHT THE DEMONS</cp:lastModifiedBy>
  <cp:revision>6</cp:revision>
  <dcterms:created xsi:type="dcterms:W3CDTF">2026-01-18T23:52:00Z</dcterms:created>
  <dcterms:modified xsi:type="dcterms:W3CDTF">2026-01-19T00:03:00Z</dcterms:modified>
  <cp:category/>
</cp:coreProperties>
</file>