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D91F" w14:textId="0327DB75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Spread -Average of H-L trading rule and the rule that supersedes it…</w:t>
      </w:r>
    </w:p>
    <w:p w14:paraId="4E50D68F" w14:textId="12BB9391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spread – [H-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L][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n]/n conditional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rule is </w:t>
      </w:r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the kind of “institutional execution filter”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want baked into the pipeline, because it prevents the model from “making money on paper” while getting murdered by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+ microstructure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in real fills.</w:t>
      </w:r>
    </w:p>
    <w:p w14:paraId="0E440ABD" w14:textId="1E72F73E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Here’s how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formalize what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have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described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 the message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model-friendly rule family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, plus how to make it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learnable/dynamic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without hardcoding thousands of brittle if/then statements.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Remember this is one rule of thousands I need to work out and feed what is constructed below into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AntiGrav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then work with it to get the execution decision logic correct so the model learns correctly. These steps are critical for accurate and working model training…</w:t>
      </w:r>
    </w:p>
    <w:p w14:paraId="635C9F84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1B2D7FBB">
          <v:rect id="_x0000_i1080" style="width:0;height:1.5pt" o:hralign="center" o:hrstd="t" o:hr="t" fillcolor="#a0a0a0" stroked="f"/>
        </w:pict>
      </w:r>
    </w:p>
    <w:p w14:paraId="73608742" w14:textId="57B813E0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Formalize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as an Execution Gating Primitive</w:t>
      </w:r>
    </w:p>
    <w:p w14:paraId="5931D5ED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Definitions (per bar </w:t>
      </w:r>
      <w:r w:rsidRPr="0014761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</w:t>
      </w: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7E8D51D" w14:textId="641B2815" w:rsidR="0014761E" w:rsidRPr="0014761E" w:rsidRDefault="0014761E" w:rsidP="0014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Spread(t)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Ask(t) − Bid(t) </w:t>
      </w:r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(for the option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’re</w:t>
      </w:r>
      <w:proofErr w:type="spellEnd"/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gramStart"/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trading;</w:t>
      </w:r>
      <w:proofErr w:type="gramEnd"/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per leg if multi-leg)</w:t>
      </w:r>
    </w:p>
    <w:p w14:paraId="6A44A894" w14:textId="77777777" w:rsidR="0014761E" w:rsidRPr="0014761E" w:rsidRDefault="0014761E" w:rsidP="0014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AvgRange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n, t)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(1/n) · Σᵢ₌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₀..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n−1 (High(t−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) − Low(t−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))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SPY underlying on 1m bars, or optionally for option mid-price range)</w:t>
      </w:r>
    </w:p>
    <w:p w14:paraId="670416F2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 Gate</w:t>
      </w:r>
    </w:p>
    <w:p w14:paraId="22F1324F" w14:textId="77777777" w:rsidR="0014761E" w:rsidRPr="0014761E" w:rsidRDefault="0014761E" w:rsidP="0014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Spread(t) ≥ </w:t>
      </w:r>
      <w:proofErr w:type="spellStart"/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AvgRange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n, t) →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entry/exit (no trade)</w:t>
      </w:r>
    </w:p>
    <w:p w14:paraId="1A23C5DC" w14:textId="77777777" w:rsidR="0014761E" w:rsidRPr="0014761E" w:rsidRDefault="0014761E" w:rsidP="00147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Spread(t) &lt; </w:t>
      </w:r>
      <w:proofErr w:type="spellStart"/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AvgRange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n, t) →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entry/exit</w:t>
      </w:r>
    </w:p>
    <w:p w14:paraId="696A557F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This is a very good “liquidity must be small relative to realized movement” gate.</w:t>
      </w:r>
    </w:p>
    <w:p w14:paraId="2F5EDB67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But we can make it more robust and learnable.</w:t>
      </w:r>
    </w:p>
    <w:p w14:paraId="6513D854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3B89E0C1">
          <v:rect id="_x0000_i1081" style="width:0;height:1.5pt" o:hralign="center" o:hrstd="t" o:hr="t" fillcolor="#a0a0a0" stroked="f"/>
        </w:pict>
      </w:r>
    </w:p>
    <w:p w14:paraId="455F0D85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Improve It: Convert to a Dimensionless Ratio (Cleaner Learning)</w:t>
      </w:r>
    </w:p>
    <w:p w14:paraId="6A967C95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Define 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microstructure friction ratio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365518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F(t) = Spread(t) / </w:t>
      </w:r>
      <w:proofErr w:type="spellStart"/>
      <w:proofErr w:type="gram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AvgRange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n, t)</w:t>
      </w:r>
    </w:p>
    <w:p w14:paraId="016B41F4" w14:textId="6BE0B7AE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rule becomes:</w:t>
      </w:r>
    </w:p>
    <w:p w14:paraId="0ACDE504" w14:textId="77777777" w:rsidR="0014761E" w:rsidRPr="0014761E" w:rsidRDefault="0014761E" w:rsidP="00147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if F(t) ≥ 1</w:t>
      </w:r>
    </w:p>
    <w:p w14:paraId="17D786D9" w14:textId="77777777" w:rsidR="0014761E" w:rsidRPr="0014761E" w:rsidRDefault="0014761E" w:rsidP="00147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if F(t) &lt; 1</w:t>
      </w:r>
    </w:p>
    <w:p w14:paraId="425D013F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the model doesn’t have to learn two scales — it learns one normalized number.</w:t>
      </w:r>
    </w:p>
    <w:p w14:paraId="050597E2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33803251">
          <v:rect id="_x0000_i1082" style="width:0;height:1.5pt" o:hralign="center" o:hrstd="t" o:hr="t" fillcolor="#a0a0a0" stroked="f"/>
        </w:pict>
      </w:r>
    </w:p>
    <w:p w14:paraId="42A0678F" w14:textId="50C0E0E5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Add the Learnable Coefficient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Mentioned</w:t>
      </w:r>
    </w:p>
    <w:p w14:paraId="1EB1A41B" w14:textId="6DEBFDF9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described a coefficient that changes with volatility/regime/news/etc. Perfect.</w:t>
      </w:r>
    </w:p>
    <w:p w14:paraId="1FF15A68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Make the threshold dynamic:</w:t>
      </w:r>
    </w:p>
    <w:p w14:paraId="0925FCE9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if F(t) &lt; θ(t)</w:t>
      </w:r>
    </w:p>
    <w:p w14:paraId="116421CE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Where θ(t) is 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learned gating threshold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produced by:</w:t>
      </w:r>
    </w:p>
    <w:p w14:paraId="4971A74A" w14:textId="77777777" w:rsidR="0014761E" w:rsidRPr="0014761E" w:rsidRDefault="0014761E" w:rsidP="00147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volatility regime (ATR, Bollinger bandwidth, VIX proxy / IV rank),</w:t>
      </w:r>
    </w:p>
    <w:p w14:paraId="282B985A" w14:textId="77777777" w:rsidR="0014761E" w:rsidRPr="0014761E" w:rsidRDefault="0014761E" w:rsidP="00147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liquidity regime (volume ratio, spread percentile),</w:t>
      </w:r>
    </w:p>
    <w:p w14:paraId="2B807FB3" w14:textId="77777777" w:rsidR="0014761E" w:rsidRPr="0014761E" w:rsidRDefault="0014761E" w:rsidP="00147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event regime (FOMC window, CPI window, open/close session),</w:t>
      </w:r>
    </w:p>
    <w:p w14:paraId="7BAFC90B" w14:textId="77777777" w:rsidR="0014761E" w:rsidRPr="0014761E" w:rsidRDefault="0014761E" w:rsidP="00147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coming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out of consolidation” signals (bandwidth compression → expansion).</w:t>
      </w:r>
    </w:p>
    <w:p w14:paraId="21C0B517" w14:textId="306FF52D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can implement θ(t) as:</w:t>
      </w:r>
    </w:p>
    <w:p w14:paraId="78F00433" w14:textId="77777777" w:rsidR="0014761E" w:rsidRPr="0014761E" w:rsidRDefault="0014761E" w:rsidP="00147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parametric function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(fast and stable), or</w:t>
      </w:r>
    </w:p>
    <w:p w14:paraId="2ADE185B" w14:textId="7CB32839" w:rsidR="0014761E" w:rsidRPr="0014761E" w:rsidRDefault="0014761E" w:rsidP="00147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neural head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(if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want it learned end-to-end).</w:t>
      </w:r>
    </w:p>
    <w:p w14:paraId="25593067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θ(t) (parametric, robust)</w:t>
      </w:r>
    </w:p>
    <w:p w14:paraId="69A2B4FC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Let:</w:t>
      </w:r>
    </w:p>
    <w:p w14:paraId="22061206" w14:textId="77777777" w:rsidR="0014761E" w:rsidRPr="0014761E" w:rsidRDefault="0014761E" w:rsidP="0014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BW(t) = Bollinger bandwidth (normalized)</w:t>
      </w:r>
    </w:p>
    <w:p w14:paraId="5DEE27ED" w14:textId="77777777" w:rsidR="0014761E" w:rsidRPr="0014761E" w:rsidRDefault="0014761E" w:rsidP="0014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ATRn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(t) = ATR / price</w:t>
      </w:r>
    </w:p>
    <w:p w14:paraId="147E8E56" w14:textId="77777777" w:rsidR="0014761E" w:rsidRPr="0014761E" w:rsidRDefault="0014761E" w:rsidP="0014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VolRatio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(t) = volume /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SMA(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volume)</w:t>
      </w:r>
    </w:p>
    <w:p w14:paraId="5627278C" w14:textId="77777777" w:rsidR="0014761E" w:rsidRPr="0014761E" w:rsidRDefault="0014761E" w:rsidP="0014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Session(t) = categorical (open/mid/close)</w:t>
      </w:r>
    </w:p>
    <w:p w14:paraId="37250971" w14:textId="77777777" w:rsidR="0014761E" w:rsidRPr="0014761E" w:rsidRDefault="0014761E" w:rsidP="00147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Event(t) = binary flag (macro window)</w:t>
      </w:r>
    </w:p>
    <w:p w14:paraId="22E7F6E4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Then: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θ(t) = </w:t>
      </w:r>
      <w:proofErr w:type="gram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clamp(</w:t>
      </w:r>
      <w:proofErr w:type="gram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θ₀ +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a·z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ATRn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+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b·z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VolRatio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−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c·z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(BW) −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d·Event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(t),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θ_min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θ_max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7F73D34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22F3CC75" w14:textId="77777777" w:rsidR="0014761E" w:rsidRPr="0014761E" w:rsidRDefault="0014761E" w:rsidP="00147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Higher volatility / more volume → tolerate slightly more spread (θ increases)</w:t>
      </w:r>
    </w:p>
    <w:p w14:paraId="7DF772CD" w14:textId="77777777" w:rsidR="0014761E" w:rsidRPr="0014761E" w:rsidRDefault="0014761E" w:rsidP="00147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Tight bandwidth + low volume or event risk → be stricter (θ decreases)</w:t>
      </w:r>
    </w:p>
    <w:p w14:paraId="18FC1B8F" w14:textId="29F3637E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This captures exactly what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mean by “learned and dynamically adjusted.”</w:t>
      </w:r>
    </w:p>
    <w:p w14:paraId="1ABA04CF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58171DF9">
          <v:rect id="_x0000_i1075" style="width:0;height:1.5pt" o:hralign="center" o:hrstd="t" o:hr="t" fillcolor="#a0a0a0" stroked="f"/>
        </w:pict>
      </w:r>
    </w:p>
    <w:p w14:paraId="6D573417" w14:textId="6843CEE8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4)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“Override” Clause: Hard Exit on Gap Risk</w:t>
      </w:r>
    </w:p>
    <w:p w14:paraId="45764DB7" w14:textId="3EA0334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said: even if spread gate blocks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exits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, if there’s high probability of a gap against the position, exit anyway to avoid catastrophe.</w:t>
      </w:r>
    </w:p>
    <w:p w14:paraId="66904CF4" w14:textId="05B41AA2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Tha</w:t>
      </w:r>
      <w:r w:rsidRPr="0014761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t is</w:t>
      </w:r>
      <w:r w:rsidRPr="0014761E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correct.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This should be 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“risk override” gate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that supersedes execution gating.</w:t>
      </w:r>
    </w:p>
    <w:p w14:paraId="48E526EC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1A13165C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Gap Risk Score G(t) </w:t>
      </w:r>
      <w:r w:rsidRPr="0014761E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∈</w:t>
      </w: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[0,1]</w:t>
      </w:r>
    </w:p>
    <w:p w14:paraId="694D8D1A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 classifier (or rule-based proxy) that estimates probability of an adverse jump.</w:t>
      </w:r>
    </w:p>
    <w:p w14:paraId="5F2B1BCC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Common inputs:</w:t>
      </w:r>
    </w:p>
    <w:p w14:paraId="13D65CE5" w14:textId="77777777" w:rsidR="0014761E" w:rsidRPr="0014761E" w:rsidRDefault="0014761E" w:rsidP="00147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event flags (FOMC/CPI/earnings/major macro),</w:t>
      </w:r>
    </w:p>
    <w:p w14:paraId="21B6735E" w14:textId="77777777" w:rsidR="0014761E" w:rsidRPr="0014761E" w:rsidRDefault="0014761E" w:rsidP="00147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volatility expansion (ATR spike, bandwidth expansion),</w:t>
      </w:r>
    </w:p>
    <w:p w14:paraId="6F749D22" w14:textId="77777777" w:rsidR="0014761E" w:rsidRPr="0014761E" w:rsidRDefault="0014761E" w:rsidP="00147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orderflow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proxy (volume spike + directional momentum),</w:t>
      </w:r>
    </w:p>
    <w:p w14:paraId="67BD2633" w14:textId="77777777" w:rsidR="0014761E" w:rsidRPr="0014761E" w:rsidRDefault="0014761E" w:rsidP="00147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late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-day risk” (near close gaps),</w:t>
      </w:r>
    </w:p>
    <w:p w14:paraId="5E6F4E50" w14:textId="1EF18F2E" w:rsidR="0014761E" w:rsidRPr="0014761E" w:rsidRDefault="0014761E" w:rsidP="00147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implied vol steepening / skew changes (if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have it).</w:t>
      </w:r>
    </w:p>
    <w:p w14:paraId="6F1C4075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Override Rule</w:t>
      </w:r>
    </w:p>
    <w:p w14:paraId="29E1A9D6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ExitSignal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(t) = true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G(t) ≥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G_crit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, then:</w:t>
      </w:r>
    </w:p>
    <w:p w14:paraId="513D4EC8" w14:textId="77777777" w:rsidR="0014761E" w:rsidRPr="0014761E" w:rsidRDefault="0014761E" w:rsidP="00147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IMMEDIATELY at market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(or marketable limit)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  <w:t>regardless of spread gate.</w:t>
      </w:r>
    </w:p>
    <w:p w14:paraId="380438E8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That’s how institutions behave: </w:t>
      </w:r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execution cost is secondary to gap risk.</w:t>
      </w:r>
    </w:p>
    <w:p w14:paraId="1507E57D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09E5BD6A">
          <v:rect id="_x0000_i1076" style="width:0;height:1.5pt" o:hralign="center" o:hrstd="t" o:hr="t" fillcolor="#a0a0a0" stroked="f"/>
        </w:pict>
      </w:r>
    </w:p>
    <w:p w14:paraId="6AFBB1A4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How This Reduces “Thousands of If/Then Statements”</w:t>
      </w:r>
    </w:p>
    <w:p w14:paraId="54DADA7C" w14:textId="062FCD56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Instead of encoding thousands of rules,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define 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number of reusable primitives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FCB544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Primitives (Reusable)</w:t>
      </w:r>
    </w:p>
    <w:p w14:paraId="7BC2D2F5" w14:textId="77777777" w:rsidR="0014761E" w:rsidRPr="0014761E" w:rsidRDefault="0014761E" w:rsidP="00147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Generator(s)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  <w:t>(trend/momentum/mean reversion/breakout signals)</w:t>
      </w:r>
    </w:p>
    <w:p w14:paraId="7C23F883" w14:textId="77777777" w:rsidR="0014761E" w:rsidRPr="0014761E" w:rsidRDefault="0014761E" w:rsidP="00147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Gate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  <w:t>(spread vs realized range friction)</w:t>
      </w:r>
    </w:p>
    <w:p w14:paraId="0B01AF02" w14:textId="77777777" w:rsidR="0014761E" w:rsidRPr="0014761E" w:rsidRDefault="0014761E" w:rsidP="00147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Override Gate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  <w:t>(gap risk / tail risk / liquidation triggers)</w:t>
      </w:r>
    </w:p>
    <w:p w14:paraId="5AA3851D" w14:textId="77777777" w:rsidR="0014761E" w:rsidRPr="0014761E" w:rsidRDefault="0014761E" w:rsidP="00147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Sizing Gate (FIS)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  <w:t>(confidence → position size)</w:t>
      </w:r>
    </w:p>
    <w:p w14:paraId="4E369BE0" w14:textId="77777777" w:rsidR="0014761E" w:rsidRPr="0014761E" w:rsidRDefault="0014761E" w:rsidP="00147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Constraint Gate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  <w:t>(Greeks/caps/drawdown)</w:t>
      </w:r>
    </w:p>
    <w:p w14:paraId="2006C142" w14:textId="5A172650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Almost every “if/then” described can be expressed as:</w:t>
      </w:r>
    </w:p>
    <w:p w14:paraId="3E30D57F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TradeAction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Signal </w:t>
      </w:r>
      <w:r w:rsidRPr="0014761E">
        <w:rPr>
          <w:rFonts w:ascii="Cambria Math" w:eastAsia="Times New Roman" w:hAnsi="Cambria Math" w:cs="Cambria Math"/>
          <w:b/>
          <w:bCs/>
          <w:kern w:val="0"/>
          <w14:ligatures w14:val="none"/>
        </w:rPr>
        <w:t>∧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ExecutionGate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4761E">
        <w:rPr>
          <w:rFonts w:ascii="Cambria Math" w:eastAsia="Times New Roman" w:hAnsi="Cambria Math" w:cs="Cambria Math"/>
          <w:b/>
          <w:bCs/>
          <w:kern w:val="0"/>
          <w14:ligatures w14:val="none"/>
        </w:rPr>
        <w:t>∧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PortfolioGate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unless </w:t>
      </w:r>
      <w:proofErr w:type="spellStart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RiskOverride</w:t>
      </w:r>
      <w:proofErr w:type="spellEnd"/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triggers, then force-exit</w:t>
      </w:r>
    </w:p>
    <w:p w14:paraId="727B3EC7" w14:textId="07AA1072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This gets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of institutional behavior with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of primitives, not thousands of brittle rules.</w:t>
      </w:r>
    </w:p>
    <w:p w14:paraId="7D2449BB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4DA04AD2">
          <v:rect id="_x0000_i1077" style="width:0;height:1.5pt" o:hralign="center" o:hrstd="t" o:hr="t" fillcolor="#a0a0a0" stroked="f"/>
        </w:pict>
      </w:r>
    </w:p>
    <w:p w14:paraId="742D8B6F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How to Feed This into Model Creation (Practical)</w:t>
      </w:r>
    </w:p>
    <w:p w14:paraId="124B0EF3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Add these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columns/features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into training rows (per bar):</w:t>
      </w:r>
    </w:p>
    <w:p w14:paraId="648929DC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 Microstructure Features</w:t>
      </w:r>
    </w:p>
    <w:p w14:paraId="7D17D5DA" w14:textId="77777777" w:rsidR="0014761E" w:rsidRPr="0014761E" w:rsidRDefault="0014761E" w:rsidP="00147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spread_abs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ask−bid</w:t>
      </w:r>
    </w:p>
    <w:p w14:paraId="167412D8" w14:textId="77777777" w:rsidR="0014761E" w:rsidRPr="0014761E" w:rsidRDefault="0014761E" w:rsidP="00147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spread_pct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spread / mid</w:t>
      </w:r>
    </w:p>
    <w:p w14:paraId="7E03ABAD" w14:textId="77777777" w:rsidR="0014761E" w:rsidRPr="0014761E" w:rsidRDefault="0014761E" w:rsidP="00147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avg_range_n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mean(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high−low over n)</w:t>
      </w:r>
    </w:p>
    <w:p w14:paraId="6DDE096D" w14:textId="77777777" w:rsidR="0014761E" w:rsidRPr="0014761E" w:rsidRDefault="0014761E" w:rsidP="00147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friction_ratio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F =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spread_abs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avg_range_n</w:t>
      </w:r>
      <w:proofErr w:type="spellEnd"/>
    </w:p>
    <w:p w14:paraId="7A1C84EB" w14:textId="77777777" w:rsidR="0014761E" w:rsidRPr="0014761E" w:rsidRDefault="0014761E" w:rsidP="00147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spread_percentile_1d (rolling)</w:t>
      </w:r>
    </w:p>
    <w:p w14:paraId="332421FC" w14:textId="77777777" w:rsidR="0014761E" w:rsidRPr="0014761E" w:rsidRDefault="0014761E" w:rsidP="00147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volume_ratio</w:t>
      </w:r>
      <w:proofErr w:type="spellEnd"/>
    </w:p>
    <w:p w14:paraId="0C3888B5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Gates (as labels or auxiliary heads)</w:t>
      </w:r>
    </w:p>
    <w:p w14:paraId="6FE13828" w14:textId="77777777" w:rsidR="0014761E" w:rsidRPr="0014761E" w:rsidRDefault="0014761E" w:rsidP="00147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exec_allow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1{F &lt; θ(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t)}</w:t>
      </w:r>
      <w:proofErr w:type="gramEnd"/>
    </w:p>
    <w:p w14:paraId="2E343D69" w14:textId="77777777" w:rsidR="0014761E" w:rsidRPr="0014761E" w:rsidRDefault="0014761E" w:rsidP="00147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gap_risk_score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(0–1)</w:t>
      </w:r>
    </w:p>
    <w:p w14:paraId="2524A7C2" w14:textId="77777777" w:rsidR="0014761E" w:rsidRPr="0014761E" w:rsidRDefault="0014761E" w:rsidP="00147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risk_override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= 1{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gap_risk_score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Gcrit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448350" w14:textId="77777777" w:rsidR="0014761E" w:rsidRPr="0014761E" w:rsidRDefault="0014761E" w:rsidP="00147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Targets</w:t>
      </w:r>
    </w:p>
    <w:p w14:paraId="016E52A2" w14:textId="77777777" w:rsidR="0014761E" w:rsidRPr="0014761E" w:rsidRDefault="0014761E" w:rsidP="00147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head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predicts: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enter/hold/exit (and which structure)</w:t>
      </w:r>
    </w:p>
    <w:p w14:paraId="0064B7AB" w14:textId="77777777" w:rsidR="0014761E" w:rsidRPr="0014761E" w:rsidRDefault="0014761E" w:rsidP="00147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aux head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predicts: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exec_allow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</w:t>
      </w:r>
    </w:p>
    <w:p w14:paraId="32E6D20C" w14:textId="77777777" w:rsidR="0014761E" w:rsidRPr="0014761E" w:rsidRDefault="0014761E" w:rsidP="00147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aux head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predicts: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gap_risk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probability</w:t>
      </w:r>
    </w:p>
    <w:p w14:paraId="5C14DACE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This makes the model “understand” </w:t>
      </w:r>
      <w:r w:rsidRPr="001476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it can’t enter/exit and when it must override.</w:t>
      </w:r>
    </w:p>
    <w:p w14:paraId="271AE701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196346CA">
          <v:rect id="_x0000_i1078" style="width:0;height:1.5pt" o:hralign="center" o:hrstd="t" o:hr="t" fillcolor="#a0a0a0" stroked="f"/>
        </w:pict>
      </w:r>
    </w:p>
    <w:p w14:paraId="543ED508" w14:textId="77777777" w:rsidR="0014761E" w:rsidRDefault="0014761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E1CE6DB" w14:textId="4525BFE0" w:rsidR="0014761E" w:rsidRPr="0014761E" w:rsidRDefault="0014761E" w:rsidP="00147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7) Clean Rule Spec (Ready to Drop into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r w:rsidRPr="00147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 Library)</w:t>
      </w:r>
    </w:p>
    <w:p w14:paraId="45D14310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 Execution Friction Gate (EFG-01)</w:t>
      </w:r>
    </w:p>
    <w:p w14:paraId="08069F0C" w14:textId="77777777" w:rsidR="0014761E" w:rsidRPr="0014761E" w:rsidRDefault="0014761E" w:rsidP="00147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AvgRange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(n) from SPY 1m bars</w:t>
      </w:r>
    </w:p>
    <w:p w14:paraId="011047DC" w14:textId="77777777" w:rsidR="0014761E" w:rsidRPr="0014761E" w:rsidRDefault="0014761E" w:rsidP="00147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option Spread = Ask − Bid</w:t>
      </w:r>
    </w:p>
    <w:p w14:paraId="68A174BF" w14:textId="77777777" w:rsidR="0014761E" w:rsidRPr="0014761E" w:rsidRDefault="0014761E" w:rsidP="00147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Compute F = Spread /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AvgRange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(n)</w:t>
      </w:r>
    </w:p>
    <w:p w14:paraId="1508BB93" w14:textId="77777777" w:rsidR="0014761E" w:rsidRPr="0014761E" w:rsidRDefault="0014761E" w:rsidP="00147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Allow entry/exit only if F &lt; θ(t)</w:t>
      </w:r>
    </w:p>
    <w:p w14:paraId="0B10C2D5" w14:textId="77777777" w:rsidR="0014761E" w:rsidRPr="0014761E" w:rsidRDefault="0014761E" w:rsidP="00147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>θ(t) is dynamic, determined by volatility, volume, bandwidth, session, event flags</w:t>
      </w:r>
    </w:p>
    <w:p w14:paraId="1D0F2359" w14:textId="7777777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 Tail Gap Override (TGO-01)</w:t>
      </w:r>
    </w:p>
    <w:p w14:paraId="68CBC91F" w14:textId="77777777" w:rsidR="0014761E" w:rsidRPr="0014761E" w:rsidRDefault="0014761E" w:rsidP="00147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ExitSignal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is true and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GapRiskScore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proofErr w:type="spell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Gcrit</w:t>
      </w:r>
      <w:proofErr w:type="spellEnd"/>
    </w:p>
    <w:p w14:paraId="6CEFA883" w14:textId="77777777" w:rsidR="0014761E" w:rsidRPr="0014761E" w:rsidRDefault="0014761E" w:rsidP="00147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Force </w:t>
      </w:r>
      <w:proofErr w:type="gramStart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>exit</w:t>
      </w:r>
      <w:proofErr w:type="gram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with market order regardless of EFG-01</w:t>
      </w:r>
    </w:p>
    <w:p w14:paraId="4120AC44" w14:textId="77777777" w:rsidR="0014761E" w:rsidRPr="0014761E" w:rsidRDefault="0014761E" w:rsidP="00147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pict w14:anchorId="109F6776">
          <v:rect id="_x0000_i1079" style="width:0;height:1.5pt" o:hralign="center" o:hrstd="t" o:hr="t" fillcolor="#a0a0a0" stroked="f"/>
        </w:pict>
      </w:r>
    </w:p>
    <w:p w14:paraId="725D62A6" w14:textId="57AFEA47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next </w:t>
      </w:r>
      <w:r>
        <w:rPr>
          <w:rFonts w:ascii="Times New Roman" w:eastAsia="Times New Roman" w:hAnsi="Times New Roman" w:cs="Times New Roman"/>
          <w:kern w:val="0"/>
          <w14:ligatures w14:val="none"/>
        </w:rPr>
        <w:t>we need to d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efine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canonical rule primitives list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(maybe 30–60 primitives total)</w:t>
      </w:r>
    </w:p>
    <w:p w14:paraId="039E7B43" w14:textId="4876DC17" w:rsidR="0014761E" w:rsidRPr="0014761E" w:rsidRDefault="0014761E" w:rsidP="00147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template “Rule DSL”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(YAML/JSON style) so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AGrav</w:t>
      </w:r>
      <w:proofErr w:type="spellEnd"/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can encode rules cleanly</w:t>
      </w:r>
    </w:p>
    <w:p w14:paraId="71EB5DAD" w14:textId="77777777" w:rsidR="0014761E" w:rsidRPr="0014761E" w:rsidRDefault="0014761E" w:rsidP="001476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Map each primitive to a </w:t>
      </w:r>
      <w:r w:rsidRPr="001476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column + gating output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that the model can learn</w:t>
      </w:r>
    </w:p>
    <w:p w14:paraId="6D75B9B8" w14:textId="21464BB1" w:rsidR="0014761E" w:rsidRPr="0014761E" w:rsidRDefault="0014761E" w:rsidP="00147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And we’ll build it so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14761E">
        <w:rPr>
          <w:rFonts w:ascii="Times New Roman" w:eastAsia="Times New Roman" w:hAnsi="Times New Roman" w:cs="Times New Roman"/>
          <w:kern w:val="0"/>
          <w14:ligatures w14:val="none"/>
        </w:rPr>
        <w:t xml:space="preserve"> can keep expanding without creating an unmaintainable if/else jungle.</w:t>
      </w:r>
    </w:p>
    <w:p w14:paraId="6DAA5188" w14:textId="77777777" w:rsidR="0014761E" w:rsidRDefault="0014761E"/>
    <w:sectPr w:rsidR="0014761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7264" w14:textId="77777777" w:rsidR="00A37AA6" w:rsidRDefault="00A37AA6" w:rsidP="0014761E">
      <w:pPr>
        <w:spacing w:after="0" w:line="240" w:lineRule="auto"/>
      </w:pPr>
      <w:r>
        <w:separator/>
      </w:r>
    </w:p>
  </w:endnote>
  <w:endnote w:type="continuationSeparator" w:id="0">
    <w:p w14:paraId="7EB9B4F3" w14:textId="77777777" w:rsidR="00A37AA6" w:rsidRDefault="00A37AA6" w:rsidP="00147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66939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FE1F13" w14:textId="6853E69A" w:rsidR="0014761E" w:rsidRPr="0014761E" w:rsidRDefault="0014761E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19, 2026</w:t>
        </w:r>
      </w:p>
    </w:sdtContent>
  </w:sdt>
  <w:p w14:paraId="4A6FC7B0" w14:textId="77777777" w:rsidR="0014761E" w:rsidRDefault="00147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0BD3" w14:textId="77777777" w:rsidR="00A37AA6" w:rsidRDefault="00A37AA6" w:rsidP="0014761E">
      <w:pPr>
        <w:spacing w:after="0" w:line="240" w:lineRule="auto"/>
      </w:pPr>
      <w:r>
        <w:separator/>
      </w:r>
    </w:p>
  </w:footnote>
  <w:footnote w:type="continuationSeparator" w:id="0">
    <w:p w14:paraId="38A1A0A0" w14:textId="77777777" w:rsidR="00A37AA6" w:rsidRDefault="00A37AA6" w:rsidP="00147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2365" w14:textId="023DA874" w:rsidR="0014761E" w:rsidRDefault="0014761E">
    <w:pPr>
      <w:pStyle w:val="Header"/>
      <w:rPr>
        <w:sz w:val="20"/>
        <w:szCs w:val="20"/>
      </w:rPr>
    </w:pPr>
    <w:r w:rsidRPr="0014761E">
      <w:rPr>
        <w:sz w:val="20"/>
        <w:szCs w:val="20"/>
      </w:rPr>
      <w:t>© 2026 by Quantor-</w:t>
    </w:r>
    <w:proofErr w:type="spellStart"/>
    <w:r w:rsidRPr="0014761E">
      <w:rPr>
        <w:sz w:val="20"/>
        <w:szCs w:val="20"/>
      </w:rPr>
      <w:t>MTFuzz</w:t>
    </w:r>
    <w:proofErr w:type="spellEnd"/>
    <w:r w:rsidRPr="0014761E">
      <w:rPr>
        <w:sz w:val="20"/>
        <w:szCs w:val="20"/>
      </w:rPr>
      <w:t>™</w:t>
    </w:r>
    <w:r w:rsidRPr="0014761E">
      <w:rPr>
        <w:sz w:val="20"/>
        <w:szCs w:val="20"/>
      </w:rPr>
      <w:tab/>
    </w:r>
    <w:r w:rsidRPr="0014761E">
      <w:rPr>
        <w:b/>
        <w:bCs/>
        <w:color w:val="EE0000"/>
        <w:sz w:val="20"/>
        <w:szCs w:val="20"/>
      </w:rPr>
      <w:t>Confidential</w:t>
    </w:r>
    <w:r w:rsidRPr="0014761E">
      <w:rPr>
        <w:sz w:val="20"/>
        <w:szCs w:val="20"/>
      </w:rPr>
      <w:tab/>
      <w:t>Author: Dr. T. Jerry Mahabub</w:t>
    </w:r>
  </w:p>
  <w:p w14:paraId="74CFB15A" w14:textId="48AE16BC" w:rsidR="0014761E" w:rsidRPr="0014761E" w:rsidRDefault="0014761E">
    <w:pPr>
      <w:pStyle w:val="Header"/>
      <w:rPr>
        <w:sz w:val="18"/>
        <w:szCs w:val="18"/>
      </w:rPr>
    </w:pPr>
    <w:r w:rsidRPr="0014761E">
      <w:rPr>
        <w:sz w:val="18"/>
        <w:szCs w:val="18"/>
      </w:rPr>
      <w:t>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C73"/>
    <w:multiLevelType w:val="multilevel"/>
    <w:tmpl w:val="92C6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678B5"/>
    <w:multiLevelType w:val="multilevel"/>
    <w:tmpl w:val="2B6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56D82"/>
    <w:multiLevelType w:val="multilevel"/>
    <w:tmpl w:val="ECA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E217E"/>
    <w:multiLevelType w:val="multilevel"/>
    <w:tmpl w:val="3B6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41109"/>
    <w:multiLevelType w:val="multilevel"/>
    <w:tmpl w:val="94C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14B4B"/>
    <w:multiLevelType w:val="multilevel"/>
    <w:tmpl w:val="6EC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A5111"/>
    <w:multiLevelType w:val="multilevel"/>
    <w:tmpl w:val="878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547CA"/>
    <w:multiLevelType w:val="multilevel"/>
    <w:tmpl w:val="9C6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52886"/>
    <w:multiLevelType w:val="multilevel"/>
    <w:tmpl w:val="9C7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411EC"/>
    <w:multiLevelType w:val="multilevel"/>
    <w:tmpl w:val="81AA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02F8E"/>
    <w:multiLevelType w:val="multilevel"/>
    <w:tmpl w:val="21B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809DF"/>
    <w:multiLevelType w:val="multilevel"/>
    <w:tmpl w:val="A8B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66EFD"/>
    <w:multiLevelType w:val="multilevel"/>
    <w:tmpl w:val="3CB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2471"/>
    <w:multiLevelType w:val="multilevel"/>
    <w:tmpl w:val="6DF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40BF9"/>
    <w:multiLevelType w:val="multilevel"/>
    <w:tmpl w:val="2458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32F9D"/>
    <w:multiLevelType w:val="multilevel"/>
    <w:tmpl w:val="9CD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51815">
    <w:abstractNumId w:val="13"/>
  </w:num>
  <w:num w:numId="2" w16cid:durableId="1621648936">
    <w:abstractNumId w:val="1"/>
  </w:num>
  <w:num w:numId="3" w16cid:durableId="1266110694">
    <w:abstractNumId w:val="14"/>
  </w:num>
  <w:num w:numId="4" w16cid:durableId="1779179974">
    <w:abstractNumId w:val="11"/>
  </w:num>
  <w:num w:numId="5" w16cid:durableId="871265224">
    <w:abstractNumId w:val="9"/>
  </w:num>
  <w:num w:numId="6" w16cid:durableId="1267929457">
    <w:abstractNumId w:val="2"/>
  </w:num>
  <w:num w:numId="7" w16cid:durableId="812140634">
    <w:abstractNumId w:val="12"/>
  </w:num>
  <w:num w:numId="8" w16cid:durableId="1026910380">
    <w:abstractNumId w:val="15"/>
  </w:num>
  <w:num w:numId="9" w16cid:durableId="527260911">
    <w:abstractNumId w:val="10"/>
  </w:num>
  <w:num w:numId="10" w16cid:durableId="1458834917">
    <w:abstractNumId w:val="0"/>
  </w:num>
  <w:num w:numId="11" w16cid:durableId="1030185614">
    <w:abstractNumId w:val="5"/>
  </w:num>
  <w:num w:numId="12" w16cid:durableId="1341079630">
    <w:abstractNumId w:val="3"/>
  </w:num>
  <w:num w:numId="13" w16cid:durableId="311569488">
    <w:abstractNumId w:val="4"/>
  </w:num>
  <w:num w:numId="14" w16cid:durableId="1102993051">
    <w:abstractNumId w:val="7"/>
  </w:num>
  <w:num w:numId="15" w16cid:durableId="1828932817">
    <w:abstractNumId w:val="8"/>
  </w:num>
  <w:num w:numId="16" w16cid:durableId="135606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1E"/>
    <w:rsid w:val="0014761E"/>
    <w:rsid w:val="0015720E"/>
    <w:rsid w:val="00A37AA6"/>
    <w:rsid w:val="00CA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062A"/>
  <w15:chartTrackingRefBased/>
  <w15:docId w15:val="{B593485E-743C-4F1E-A8E5-0E3416A9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61E"/>
  </w:style>
  <w:style w:type="paragraph" w:styleId="Footer">
    <w:name w:val="footer"/>
    <w:basedOn w:val="Normal"/>
    <w:link w:val="FooterChar"/>
    <w:uiPriority w:val="99"/>
    <w:unhideWhenUsed/>
    <w:rsid w:val="00147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882</Words>
  <Characters>4970</Characters>
  <Application>Microsoft Office Word</Application>
  <DocSecurity>0</DocSecurity>
  <Lines>134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2026-01-20T05:37:00Z</dcterms:created>
  <dcterms:modified xsi:type="dcterms:W3CDTF">2026-01-20T05:48:00Z</dcterms:modified>
</cp:coreProperties>
</file>