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B1258" w14:textId="77777777" w:rsidR="00D86D70" w:rsidRPr="00D86D70" w:rsidRDefault="00D86D70" w:rsidP="00D86D70">
      <w:pPr>
        <w:spacing w:after="0"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pict w14:anchorId="2C0BE32F">
          <v:rect id="_x0000_i1025" style="width:0;height:1.5pt" o:hralign="center" o:hrstd="t" o:hr="t" fillcolor="#a0a0a0" stroked="f"/>
        </w:pict>
      </w:r>
    </w:p>
    <w:p w14:paraId="103AEA9C" w14:textId="2B8EBED5" w:rsidR="00457995" w:rsidRDefault="00457995" w:rsidP="00D86D70">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drawing>
          <wp:anchor distT="0" distB="0" distL="114300" distR="114300" simplePos="0" relativeHeight="251658240" behindDoc="1" locked="0" layoutInCell="1" allowOverlap="1" wp14:anchorId="1E3BB5F1" wp14:editId="446F96EC">
            <wp:simplePos x="0" y="0"/>
            <wp:positionH relativeFrom="margin">
              <wp:align>right</wp:align>
            </wp:positionH>
            <wp:positionV relativeFrom="paragraph">
              <wp:posOffset>444681</wp:posOffset>
            </wp:positionV>
            <wp:extent cx="5943600" cy="1661160"/>
            <wp:effectExtent l="0" t="0" r="0" b="0"/>
            <wp:wrapTight wrapText="bothSides">
              <wp:wrapPolygon edited="0">
                <wp:start x="3600" y="0"/>
                <wp:lineTo x="2562" y="1239"/>
                <wp:lineTo x="1246" y="3468"/>
                <wp:lineTo x="831" y="6193"/>
                <wp:lineTo x="485" y="7927"/>
                <wp:lineTo x="0" y="9661"/>
                <wp:lineTo x="0" y="13872"/>
                <wp:lineTo x="1938" y="15853"/>
                <wp:lineTo x="1246" y="21303"/>
                <wp:lineTo x="1592" y="21303"/>
                <wp:lineTo x="1662" y="21055"/>
                <wp:lineTo x="2354" y="19817"/>
                <wp:lineTo x="7408" y="19817"/>
                <wp:lineTo x="16754" y="17339"/>
                <wp:lineTo x="16685" y="15853"/>
                <wp:lineTo x="18277" y="15853"/>
                <wp:lineTo x="21115" y="13376"/>
                <wp:lineTo x="21046" y="11890"/>
                <wp:lineTo x="21531" y="10404"/>
                <wp:lineTo x="21531" y="9165"/>
                <wp:lineTo x="18692" y="7927"/>
                <wp:lineTo x="19592" y="4706"/>
                <wp:lineTo x="19108" y="4459"/>
                <wp:lineTo x="6577" y="3963"/>
                <wp:lineTo x="6646" y="2229"/>
                <wp:lineTo x="5400" y="0"/>
                <wp:lineTo x="4292" y="0"/>
                <wp:lineTo x="3600" y="0"/>
              </wp:wrapPolygon>
            </wp:wrapTight>
            <wp:docPr id="179322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2312" name="Picture 179322312"/>
                    <pic:cNvPicPr/>
                  </pic:nvPicPr>
                  <pic:blipFill>
                    <a:blip r:embed="rId7">
                      <a:extLst>
                        <a:ext uri="{28A0092B-C50C-407E-A947-70E740481C1C}">
                          <a14:useLocalDpi xmlns:a14="http://schemas.microsoft.com/office/drawing/2010/main" val="0"/>
                        </a:ext>
                      </a:extLst>
                    </a:blip>
                    <a:stretch>
                      <a:fillRect/>
                    </a:stretch>
                  </pic:blipFill>
                  <pic:spPr>
                    <a:xfrm>
                      <a:off x="0" y="0"/>
                      <a:ext cx="5943600" cy="1661160"/>
                    </a:xfrm>
                    <a:prstGeom prst="rect">
                      <a:avLst/>
                    </a:prstGeom>
                  </pic:spPr>
                </pic:pic>
              </a:graphicData>
            </a:graphic>
            <wp14:sizeRelH relativeFrom="page">
              <wp14:pctWidth>0</wp14:pctWidth>
            </wp14:sizeRelH>
            <wp14:sizeRelV relativeFrom="page">
              <wp14:pctHeight>0</wp14:pctHeight>
            </wp14:sizeRelV>
          </wp:anchor>
        </w:drawing>
      </w:r>
    </w:p>
    <w:p w14:paraId="132B8FC4" w14:textId="3F472EB9" w:rsidR="00D86D70" w:rsidRPr="00D86D70" w:rsidRDefault="00D86D70" w:rsidP="00457995">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roofErr w:type="spellStart"/>
      <w:r w:rsidRPr="00D86D70">
        <w:rPr>
          <w:rFonts w:ascii="Times New Roman" w:eastAsia="Times New Roman" w:hAnsi="Times New Roman" w:cs="Times New Roman"/>
          <w:b/>
          <w:bCs/>
          <w:kern w:val="36"/>
          <w:sz w:val="48"/>
          <w:szCs w:val="48"/>
          <w14:ligatures w14:val="none"/>
        </w:rPr>
        <w:t>CondorBrain</w:t>
      </w:r>
      <w:proofErr w:type="spellEnd"/>
      <w:r>
        <w:rPr>
          <w:rFonts w:ascii="Times New Roman" w:eastAsia="Times New Roman" w:hAnsi="Times New Roman" w:cs="Times New Roman"/>
          <w:b/>
          <w:bCs/>
          <w:kern w:val="36"/>
          <w:sz w:val="48"/>
          <w:szCs w:val="48"/>
          <w14:ligatures w14:val="none"/>
        </w:rPr>
        <w:t>™-</w:t>
      </w:r>
      <w:proofErr w:type="spellStart"/>
      <w:r>
        <w:rPr>
          <w:rFonts w:ascii="Times New Roman" w:eastAsia="Times New Roman" w:hAnsi="Times New Roman" w:cs="Times New Roman"/>
          <w:b/>
          <w:bCs/>
          <w:kern w:val="36"/>
          <w:sz w:val="48"/>
          <w:szCs w:val="48"/>
          <w14:ligatures w14:val="none"/>
        </w:rPr>
        <w:t>CondorIntelligence</w:t>
      </w:r>
      <w:proofErr w:type="spellEnd"/>
      <w:r>
        <w:rPr>
          <w:rFonts w:ascii="Times New Roman" w:eastAsia="Times New Roman" w:hAnsi="Times New Roman" w:cs="Times New Roman"/>
          <w:b/>
          <w:bCs/>
          <w:kern w:val="36"/>
          <w:sz w:val="48"/>
          <w:szCs w:val="48"/>
          <w14:ligatures w14:val="none"/>
        </w:rPr>
        <w:t>™</w:t>
      </w:r>
      <w:r w:rsidRPr="00D86D70">
        <w:rPr>
          <w:rFonts w:ascii="Times New Roman" w:eastAsia="Times New Roman" w:hAnsi="Times New Roman" w:cs="Times New Roman"/>
          <w:b/>
          <w:bCs/>
          <w:kern w:val="36"/>
          <w:sz w:val="48"/>
          <w:szCs w:val="48"/>
          <w14:ligatures w14:val="none"/>
        </w:rPr>
        <w:t xml:space="preserve"> Architecture Diagrams – Reference Guide</w:t>
      </w:r>
    </w:p>
    <w:p w14:paraId="093704DC" w14:textId="75D2E969" w:rsidR="00D86D70" w:rsidRPr="00D86D70" w:rsidRDefault="00D86D70" w:rsidP="00D86D70">
      <w:pPr>
        <w:spacing w:before="100" w:beforeAutospacing="1" w:after="100" w:afterAutospacing="1"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 xml:space="preserve">This document describes the purpose and scope of each architecture diagram used in the </w:t>
      </w:r>
      <w:proofErr w:type="spellStart"/>
      <w:r w:rsidRPr="00D86D70">
        <w:rPr>
          <w:rFonts w:ascii="Times New Roman" w:eastAsia="Times New Roman" w:hAnsi="Times New Roman" w:cs="Times New Roman"/>
          <w:kern w:val="0"/>
          <w14:ligatures w14:val="none"/>
        </w:rPr>
        <w:t>CondorBrain</w:t>
      </w:r>
      <w:proofErr w:type="spellEnd"/>
      <w:r>
        <w:rPr>
          <w:rFonts w:ascii="Times New Roman" w:eastAsia="Times New Roman" w:hAnsi="Times New Roman" w:cs="Times New Roman"/>
          <w:kern w:val="0"/>
          <w14:ligatures w14:val="none"/>
        </w:rPr>
        <w:t>™-</w:t>
      </w:r>
      <w:proofErr w:type="spellStart"/>
      <w:r>
        <w:rPr>
          <w:rFonts w:ascii="Times New Roman" w:eastAsia="Times New Roman" w:hAnsi="Times New Roman" w:cs="Times New Roman"/>
          <w:kern w:val="0"/>
          <w14:ligatures w14:val="none"/>
        </w:rPr>
        <w:t>CondorIntelligence</w:t>
      </w:r>
      <w:proofErr w:type="spellEnd"/>
      <w:r>
        <w:rPr>
          <w:rFonts w:ascii="Times New Roman" w:eastAsia="Times New Roman" w:hAnsi="Times New Roman" w:cs="Times New Roman"/>
          <w:kern w:val="0"/>
          <w14:ligatures w14:val="none"/>
        </w:rPr>
        <w:t>™</w:t>
      </w:r>
      <w:r w:rsidRPr="00D86D70">
        <w:rPr>
          <w:rFonts w:ascii="Times New Roman" w:eastAsia="Times New Roman" w:hAnsi="Times New Roman" w:cs="Times New Roman"/>
          <w:kern w:val="0"/>
          <w14:ligatures w14:val="none"/>
        </w:rPr>
        <w:t xml:space="preserve"> system. These diagrams collectively define the structural, computational, and decision-making design of an institutional-grade SPY options trading platform</w:t>
      </w:r>
      <w:r>
        <w:rPr>
          <w:rFonts w:ascii="Times New Roman" w:eastAsia="Times New Roman" w:hAnsi="Times New Roman" w:cs="Times New Roman"/>
          <w:kern w:val="0"/>
          <w14:ligatures w14:val="none"/>
        </w:rPr>
        <w:t xml:space="preserve"> for benchmarking retail automated trading strategies.</w:t>
      </w:r>
    </w:p>
    <w:p w14:paraId="1EC2174F" w14:textId="77777777" w:rsidR="00D86D70" w:rsidRPr="00D86D70" w:rsidRDefault="00D86D70" w:rsidP="00D86D70">
      <w:pPr>
        <w:spacing w:after="0"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pict w14:anchorId="5F175D8F">
          <v:rect id="_x0000_i1026" style="width:0;height:1.5pt" o:hralign="center" o:hrstd="t" o:hr="t" fillcolor="#a0a0a0" stroked="f"/>
        </w:pict>
      </w:r>
    </w:p>
    <w:p w14:paraId="1704EBB2" w14:textId="77777777" w:rsidR="00D86D70" w:rsidRPr="00D86D70" w:rsidRDefault="00D86D70" w:rsidP="00D86D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D70">
        <w:rPr>
          <w:rFonts w:ascii="Times New Roman" w:eastAsia="Times New Roman" w:hAnsi="Times New Roman" w:cs="Times New Roman"/>
          <w:b/>
          <w:bCs/>
          <w:kern w:val="0"/>
          <w:sz w:val="36"/>
          <w:szCs w:val="36"/>
          <w14:ligatures w14:val="none"/>
        </w:rPr>
        <w:t>1. Master Architecture Maps</w:t>
      </w:r>
    </w:p>
    <w:p w14:paraId="32D2D5C5" w14:textId="77777777" w:rsidR="00D86D70" w:rsidRPr="00D86D70" w:rsidRDefault="00D86D70" w:rsidP="00D86D70">
      <w:pPr>
        <w:spacing w:before="100" w:beforeAutospacing="1" w:after="100" w:afterAutospacing="1"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b/>
          <w:bCs/>
          <w:kern w:val="0"/>
          <w14:ligatures w14:val="none"/>
        </w:rPr>
        <w:t>diagram_map.png</w:t>
      </w:r>
      <w:r w:rsidRPr="00D86D70">
        <w:rPr>
          <w:rFonts w:ascii="Times New Roman" w:eastAsia="Times New Roman" w:hAnsi="Times New Roman" w:cs="Times New Roman"/>
          <w:kern w:val="0"/>
          <w14:ligatures w14:val="none"/>
        </w:rPr>
        <w:br/>
        <w:t xml:space="preserve">The master navigational diagram for the entire </w:t>
      </w:r>
      <w:proofErr w:type="spellStart"/>
      <w:r w:rsidRPr="00D86D70">
        <w:rPr>
          <w:rFonts w:ascii="Times New Roman" w:eastAsia="Times New Roman" w:hAnsi="Times New Roman" w:cs="Times New Roman"/>
          <w:kern w:val="0"/>
          <w14:ligatures w14:val="none"/>
        </w:rPr>
        <w:t>CondorBrain</w:t>
      </w:r>
      <w:proofErr w:type="spellEnd"/>
      <w:r w:rsidRPr="00D86D70">
        <w:rPr>
          <w:rFonts w:ascii="Times New Roman" w:eastAsia="Times New Roman" w:hAnsi="Times New Roman" w:cs="Times New Roman"/>
          <w:kern w:val="0"/>
          <w14:ligatures w14:val="none"/>
        </w:rPr>
        <w:t xml:space="preserve"> system. This map organizes all other diagrams into functional clusters, including Data, Intelligence, Logic, Execution, and Optimization. It serves as the index and entry point for understanding system structure.</w:t>
      </w:r>
    </w:p>
    <w:p w14:paraId="5D5FB2B1" w14:textId="77777777" w:rsidR="00D86D70" w:rsidRPr="00D86D70" w:rsidRDefault="00D86D70" w:rsidP="00D86D70">
      <w:pPr>
        <w:spacing w:before="100" w:beforeAutospacing="1" w:after="100" w:afterAutospacing="1"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b/>
          <w:bCs/>
          <w:kern w:val="0"/>
          <w14:ligatures w14:val="none"/>
        </w:rPr>
        <w:t>system_overview.png</w:t>
      </w:r>
      <w:r w:rsidRPr="00D86D70">
        <w:rPr>
          <w:rFonts w:ascii="Times New Roman" w:eastAsia="Times New Roman" w:hAnsi="Times New Roman" w:cs="Times New Roman"/>
          <w:kern w:val="0"/>
          <w14:ligatures w14:val="none"/>
        </w:rPr>
        <w:br/>
        <w:t>A high-level conceptual overview illustrating how the Data layer feeds the Intelligence Core, which in turn drives the Execution layer. This diagram is intended for executive, audit, and stakeholder understanding rather than implementation detail.</w:t>
      </w:r>
    </w:p>
    <w:p w14:paraId="3B571F1F" w14:textId="77777777" w:rsidR="00D86D70" w:rsidRPr="00D86D70" w:rsidRDefault="00D86D70" w:rsidP="00D86D70">
      <w:pPr>
        <w:spacing w:before="100" w:beforeAutospacing="1" w:after="100" w:afterAutospacing="1"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b/>
          <w:bCs/>
          <w:kern w:val="0"/>
          <w14:ligatures w14:val="none"/>
        </w:rPr>
        <w:t>full_system_architecture.png</w:t>
      </w:r>
      <w:r w:rsidRPr="00D86D70">
        <w:rPr>
          <w:rFonts w:ascii="Times New Roman" w:eastAsia="Times New Roman" w:hAnsi="Times New Roman" w:cs="Times New Roman"/>
          <w:kern w:val="0"/>
          <w14:ligatures w14:val="none"/>
        </w:rPr>
        <w:br/>
        <w:t xml:space="preserve">The authoritative V2.2 system specification diagram. This diagram provides a complete, end-to-end view of the </w:t>
      </w:r>
      <w:proofErr w:type="spellStart"/>
      <w:r w:rsidRPr="00D86D70">
        <w:rPr>
          <w:rFonts w:ascii="Times New Roman" w:eastAsia="Times New Roman" w:hAnsi="Times New Roman" w:cs="Times New Roman"/>
          <w:kern w:val="0"/>
          <w14:ligatures w14:val="none"/>
        </w:rPr>
        <w:t>CondorBrain</w:t>
      </w:r>
      <w:proofErr w:type="spellEnd"/>
      <w:r w:rsidRPr="00D86D70">
        <w:rPr>
          <w:rFonts w:ascii="Times New Roman" w:eastAsia="Times New Roman" w:hAnsi="Times New Roman" w:cs="Times New Roman"/>
          <w:kern w:val="0"/>
          <w14:ligatures w14:val="none"/>
        </w:rPr>
        <w:t xml:space="preserve"> architecture, including the Mamba-2 neural backbone, Diffusion forecasting components, decision logic, and execution pathways. It is the primary technical reference for the system.</w:t>
      </w:r>
    </w:p>
    <w:p w14:paraId="1851B48B" w14:textId="77777777" w:rsidR="00D86D70" w:rsidRPr="00D86D70" w:rsidRDefault="00D86D70" w:rsidP="00D86D70">
      <w:pPr>
        <w:spacing w:before="100" w:beforeAutospacing="1" w:after="100" w:afterAutospacing="1"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b/>
          <w:bCs/>
          <w:kern w:val="0"/>
          <w14:ligatures w14:val="none"/>
        </w:rPr>
        <w:t>phase2_phase3_architecture.png</w:t>
      </w:r>
      <w:r w:rsidRPr="00D86D70">
        <w:rPr>
          <w:rFonts w:ascii="Times New Roman" w:eastAsia="Times New Roman" w:hAnsi="Times New Roman" w:cs="Times New Roman"/>
          <w:kern w:val="0"/>
          <w14:ligatures w14:val="none"/>
        </w:rPr>
        <w:br/>
        <w:t xml:space="preserve">A roadmap diagram outlining the architectural evolution from Phase 2 (indicator-driven logic </w:t>
      </w:r>
      <w:r w:rsidRPr="00D86D70">
        <w:rPr>
          <w:rFonts w:ascii="Times New Roman" w:eastAsia="Times New Roman" w:hAnsi="Times New Roman" w:cs="Times New Roman"/>
          <w:kern w:val="0"/>
          <w14:ligatures w14:val="none"/>
        </w:rPr>
        <w:lastRenderedPageBreak/>
        <w:t>and baseline neural intelligence) to Phase 3 (advanced risk controls, regime awareness, institutional execution, and adaptive optimization).</w:t>
      </w:r>
    </w:p>
    <w:p w14:paraId="1187E887" w14:textId="77777777" w:rsidR="00D86D70" w:rsidRPr="00D86D70" w:rsidRDefault="00D86D70" w:rsidP="00D86D70">
      <w:pPr>
        <w:spacing w:after="0"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pict w14:anchorId="1E6D2ED6">
          <v:rect id="_x0000_i1027" style="width:0;height:1.5pt" o:hralign="center" o:hrstd="t" o:hr="t" fillcolor="#a0a0a0" stroked="f"/>
        </w:pict>
      </w:r>
    </w:p>
    <w:p w14:paraId="25F04714" w14:textId="77777777" w:rsidR="00D86D70" w:rsidRPr="00D86D70" w:rsidRDefault="00D86D70" w:rsidP="00D86D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D70">
        <w:rPr>
          <w:rFonts w:ascii="Times New Roman" w:eastAsia="Times New Roman" w:hAnsi="Times New Roman" w:cs="Times New Roman"/>
          <w:b/>
          <w:bCs/>
          <w:kern w:val="0"/>
          <w:sz w:val="36"/>
          <w:szCs w:val="36"/>
          <w14:ligatures w14:val="none"/>
        </w:rPr>
        <w:t>2. Intelligence Core Diagrams</w:t>
      </w:r>
    </w:p>
    <w:p w14:paraId="0DE3A169" w14:textId="77777777" w:rsidR="00D86D70" w:rsidRPr="00D86D70" w:rsidRDefault="00D86D70" w:rsidP="00D86D70">
      <w:pPr>
        <w:spacing w:before="100" w:beforeAutospacing="1" w:after="100" w:afterAutospacing="1"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b/>
          <w:bCs/>
          <w:kern w:val="0"/>
          <w14:ligatures w14:val="none"/>
        </w:rPr>
        <w:t>enhanced_architecture.png</w:t>
      </w:r>
      <w:r w:rsidRPr="00D86D70">
        <w:rPr>
          <w:rFonts w:ascii="Times New Roman" w:eastAsia="Times New Roman" w:hAnsi="Times New Roman" w:cs="Times New Roman"/>
          <w:kern w:val="0"/>
          <w14:ligatures w14:val="none"/>
        </w:rPr>
        <w:br/>
        <w:t xml:space="preserve">A focused view of the Neural Intelligence Core, highlighting the Mamba-2 backbone and its connections to specialized output heads, including Diffusion-based forecasting and </w:t>
      </w:r>
      <w:proofErr w:type="gramStart"/>
      <w:r w:rsidRPr="00D86D70">
        <w:rPr>
          <w:rFonts w:ascii="Times New Roman" w:eastAsia="Times New Roman" w:hAnsi="Times New Roman" w:cs="Times New Roman"/>
          <w:kern w:val="0"/>
          <w14:ligatures w14:val="none"/>
        </w:rPr>
        <w:t>Top-K</w:t>
      </w:r>
      <w:proofErr w:type="gramEnd"/>
      <w:r w:rsidRPr="00D86D70">
        <w:rPr>
          <w:rFonts w:ascii="Times New Roman" w:eastAsia="Times New Roman" w:hAnsi="Times New Roman" w:cs="Times New Roman"/>
          <w:kern w:val="0"/>
          <w14:ligatures w14:val="none"/>
        </w:rPr>
        <w:t xml:space="preserve"> Mixture-of-Experts (</w:t>
      </w:r>
      <w:proofErr w:type="spellStart"/>
      <w:r w:rsidRPr="00D86D70">
        <w:rPr>
          <w:rFonts w:ascii="Times New Roman" w:eastAsia="Times New Roman" w:hAnsi="Times New Roman" w:cs="Times New Roman"/>
          <w:kern w:val="0"/>
          <w14:ligatures w14:val="none"/>
        </w:rPr>
        <w:t>MoE</w:t>
      </w:r>
      <w:proofErr w:type="spellEnd"/>
      <w:r w:rsidRPr="00D86D70">
        <w:rPr>
          <w:rFonts w:ascii="Times New Roman" w:eastAsia="Times New Roman" w:hAnsi="Times New Roman" w:cs="Times New Roman"/>
          <w:kern w:val="0"/>
          <w14:ligatures w14:val="none"/>
        </w:rPr>
        <w:t>) routing.</w:t>
      </w:r>
    </w:p>
    <w:p w14:paraId="70B3F622" w14:textId="77777777" w:rsidR="00D86D70" w:rsidRPr="00D86D70" w:rsidRDefault="00D86D70" w:rsidP="00D86D70">
      <w:pPr>
        <w:spacing w:before="100" w:beforeAutospacing="1" w:after="100" w:afterAutospacing="1"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b/>
          <w:bCs/>
          <w:kern w:val="0"/>
          <w14:ligatures w14:val="none"/>
        </w:rPr>
        <w:t>mamba_engine_logic.png</w:t>
      </w:r>
      <w:r w:rsidRPr="00D86D70">
        <w:rPr>
          <w:rFonts w:ascii="Times New Roman" w:eastAsia="Times New Roman" w:hAnsi="Times New Roman" w:cs="Times New Roman"/>
          <w:kern w:val="0"/>
          <w14:ligatures w14:val="none"/>
        </w:rPr>
        <w:br/>
        <w:t>An internal schematic of a single Mamba-2 block. This diagram illustrates the Selective Scan State Space Model (SSM), gating mechanisms, and hardware-accelerated computation paths used to efficiently process long financial sequences.</w:t>
      </w:r>
    </w:p>
    <w:p w14:paraId="42F67102" w14:textId="77777777" w:rsidR="00D86D70" w:rsidRPr="00D86D70" w:rsidRDefault="00D86D70" w:rsidP="00D86D70">
      <w:pPr>
        <w:spacing w:before="100" w:beforeAutospacing="1" w:after="100" w:afterAutospacing="1"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b/>
          <w:bCs/>
          <w:kern w:val="0"/>
          <w14:ligatures w14:val="none"/>
        </w:rPr>
        <w:t>condor_intelligence_flow_premium.png</w:t>
      </w:r>
      <w:r w:rsidRPr="00D86D70">
        <w:rPr>
          <w:rFonts w:ascii="Times New Roman" w:eastAsia="Times New Roman" w:hAnsi="Times New Roman" w:cs="Times New Roman"/>
          <w:kern w:val="0"/>
          <w14:ligatures w14:val="none"/>
        </w:rPr>
        <w:br/>
        <w:t>An enhanced intelligence flow diagram that extends the standard neural pipeline with Topological Data Analysis (TDA) and Generative Diffusion components. This diagram reflects the premium research configuration used for advanced regime detection and probabilistic forecasting.</w:t>
      </w:r>
    </w:p>
    <w:p w14:paraId="035A40E8" w14:textId="77777777" w:rsidR="00D86D70" w:rsidRPr="00D86D70" w:rsidRDefault="00D86D70" w:rsidP="00D86D70">
      <w:pPr>
        <w:spacing w:before="100" w:beforeAutospacing="1" w:after="100" w:afterAutospacing="1"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b/>
          <w:bCs/>
          <w:kern w:val="0"/>
          <w14:ligatures w14:val="none"/>
        </w:rPr>
        <w:t>condor_intelligence_flow.png</w:t>
      </w:r>
      <w:r w:rsidRPr="00D86D70">
        <w:rPr>
          <w:rFonts w:ascii="Times New Roman" w:eastAsia="Times New Roman" w:hAnsi="Times New Roman" w:cs="Times New Roman"/>
          <w:kern w:val="0"/>
          <w14:ligatures w14:val="none"/>
        </w:rPr>
        <w:br/>
        <w:t>The standard intelligence flow diagram showing how normalized input tensors are transformed through neural layers into actionable trading signals and forecasts.</w:t>
      </w:r>
    </w:p>
    <w:p w14:paraId="3878BC54" w14:textId="77777777" w:rsidR="00D86D70" w:rsidRPr="00D86D70" w:rsidRDefault="00D86D70" w:rsidP="00D86D70">
      <w:pPr>
        <w:spacing w:after="0"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pict w14:anchorId="5DAA9332">
          <v:rect id="_x0000_i1028" style="width:0;height:1.5pt" o:hralign="center" o:hrstd="t" o:hr="t" fillcolor="#a0a0a0" stroked="f"/>
        </w:pict>
      </w:r>
    </w:p>
    <w:p w14:paraId="0ADDB743" w14:textId="77777777" w:rsidR="00D86D70" w:rsidRPr="00D86D70" w:rsidRDefault="00D86D70" w:rsidP="00D86D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D70">
        <w:rPr>
          <w:rFonts w:ascii="Times New Roman" w:eastAsia="Times New Roman" w:hAnsi="Times New Roman" w:cs="Times New Roman"/>
          <w:b/>
          <w:bCs/>
          <w:kern w:val="0"/>
          <w:sz w:val="36"/>
          <w:szCs w:val="36"/>
          <w14:ligatures w14:val="none"/>
        </w:rPr>
        <w:t>3. Data Pipeline Diagrams</w:t>
      </w:r>
    </w:p>
    <w:p w14:paraId="76CC4986" w14:textId="77777777" w:rsidR="00D86D70" w:rsidRPr="00D86D70" w:rsidRDefault="00D86D70" w:rsidP="00D86D70">
      <w:pPr>
        <w:spacing w:before="100" w:beforeAutospacing="1" w:after="100" w:afterAutospacing="1"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b/>
          <w:bCs/>
          <w:kern w:val="0"/>
          <w14:ligatures w14:val="none"/>
        </w:rPr>
        <w:t>pipeline_diagram.png</w:t>
      </w:r>
      <w:r w:rsidRPr="00D86D70">
        <w:rPr>
          <w:rFonts w:ascii="Times New Roman" w:eastAsia="Times New Roman" w:hAnsi="Times New Roman" w:cs="Times New Roman"/>
          <w:kern w:val="0"/>
          <w14:ligatures w14:val="none"/>
        </w:rPr>
        <w:br/>
        <w:t xml:space="preserve">A visual representation of the Extract-Transform-Load (ETL) pipeline responsible for ingesting raw market and options data from external providers (e.g., Alpaca, </w:t>
      </w:r>
      <w:proofErr w:type="spellStart"/>
      <w:r w:rsidRPr="00D86D70">
        <w:rPr>
          <w:rFonts w:ascii="Times New Roman" w:eastAsia="Times New Roman" w:hAnsi="Times New Roman" w:cs="Times New Roman"/>
          <w:kern w:val="0"/>
          <w14:ligatures w14:val="none"/>
        </w:rPr>
        <w:t>IVolatility</w:t>
      </w:r>
      <w:proofErr w:type="spellEnd"/>
      <w:r w:rsidRPr="00D86D70">
        <w:rPr>
          <w:rFonts w:ascii="Times New Roman" w:eastAsia="Times New Roman" w:hAnsi="Times New Roman" w:cs="Times New Roman"/>
          <w:kern w:val="0"/>
          <w14:ligatures w14:val="none"/>
        </w:rPr>
        <w:t>) and preparing it for downstream processing.</w:t>
      </w:r>
    </w:p>
    <w:p w14:paraId="162D7EC3" w14:textId="77777777" w:rsidR="00D86D70" w:rsidRPr="00D86D70" w:rsidRDefault="00D86D70" w:rsidP="00D86D70">
      <w:pPr>
        <w:spacing w:before="100" w:beforeAutospacing="1" w:after="100" w:afterAutospacing="1"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b/>
          <w:bCs/>
          <w:kern w:val="0"/>
          <w14:ligatures w14:val="none"/>
        </w:rPr>
        <w:t>data_pipeline_detailed.png</w:t>
      </w:r>
      <w:r w:rsidRPr="00D86D70">
        <w:rPr>
          <w:rFonts w:ascii="Times New Roman" w:eastAsia="Times New Roman" w:hAnsi="Times New Roman" w:cs="Times New Roman"/>
          <w:kern w:val="0"/>
          <w14:ligatures w14:val="none"/>
        </w:rPr>
        <w:br/>
        <w:t xml:space="preserve">A detailed view of data ingestion and transformation, focusing on the construction of the </w:t>
      </w:r>
      <w:proofErr w:type="spellStart"/>
      <w:r w:rsidRPr="00D86D70">
        <w:rPr>
          <w:rFonts w:ascii="Times New Roman" w:eastAsia="Times New Roman" w:hAnsi="Times New Roman" w:cs="Times New Roman"/>
          <w:kern w:val="0"/>
          <w14:ligatures w14:val="none"/>
        </w:rPr>
        <w:t>MarketSnapshot</w:t>
      </w:r>
      <w:proofErr w:type="spellEnd"/>
      <w:r w:rsidRPr="00D86D70">
        <w:rPr>
          <w:rFonts w:ascii="Times New Roman" w:eastAsia="Times New Roman" w:hAnsi="Times New Roman" w:cs="Times New Roman"/>
          <w:kern w:val="0"/>
          <w14:ligatures w14:val="none"/>
        </w:rPr>
        <w:t xml:space="preserve"> object and precise feature alignment across price, volatility, and options-specific inputs.</w:t>
      </w:r>
    </w:p>
    <w:p w14:paraId="6A64B3A9" w14:textId="77777777" w:rsidR="00D86D70" w:rsidRPr="00D86D70" w:rsidRDefault="00D86D70" w:rsidP="00D86D70">
      <w:pPr>
        <w:spacing w:before="100" w:beforeAutospacing="1" w:after="100" w:afterAutospacing="1"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b/>
          <w:bCs/>
          <w:kern w:val="0"/>
          <w14:ligatures w14:val="none"/>
        </w:rPr>
        <w:t>lag_alignment_flow.png</w:t>
      </w:r>
      <w:r w:rsidRPr="00D86D70">
        <w:rPr>
          <w:rFonts w:ascii="Times New Roman" w:eastAsia="Times New Roman" w:hAnsi="Times New Roman" w:cs="Times New Roman"/>
          <w:kern w:val="0"/>
          <w14:ligatures w14:val="none"/>
        </w:rPr>
        <w:br/>
        <w:t xml:space="preserve">A critical synchronization diagram illustrating how delayed or lagged data sources (e.g., 15-minute indicators or options </w:t>
      </w:r>
      <w:proofErr w:type="spellStart"/>
      <w:r w:rsidRPr="00D86D70">
        <w:rPr>
          <w:rFonts w:ascii="Times New Roman" w:eastAsia="Times New Roman" w:hAnsi="Times New Roman" w:cs="Times New Roman"/>
          <w:kern w:val="0"/>
          <w14:ligatures w14:val="none"/>
        </w:rPr>
        <w:t>greeks</w:t>
      </w:r>
      <w:proofErr w:type="spellEnd"/>
      <w:r w:rsidRPr="00D86D70">
        <w:rPr>
          <w:rFonts w:ascii="Times New Roman" w:eastAsia="Times New Roman" w:hAnsi="Times New Roman" w:cs="Times New Roman"/>
          <w:kern w:val="0"/>
          <w14:ligatures w14:val="none"/>
        </w:rPr>
        <w:t>) are correctly aligned with real-time price data to prevent leakage and temporal inconsistencies.</w:t>
      </w:r>
    </w:p>
    <w:p w14:paraId="344D5CC5" w14:textId="77777777" w:rsidR="00D86D70" w:rsidRPr="00D86D70" w:rsidRDefault="00D86D70" w:rsidP="00D86D70">
      <w:pPr>
        <w:spacing w:after="0"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lastRenderedPageBreak/>
        <w:pict w14:anchorId="73DDBBA1">
          <v:rect id="_x0000_i1029" style="width:0;height:1.5pt" o:hralign="center" o:hrstd="t" o:hr="t" fillcolor="#a0a0a0" stroked="f"/>
        </w:pict>
      </w:r>
    </w:p>
    <w:p w14:paraId="16ECCD82" w14:textId="77777777" w:rsidR="00D86D70" w:rsidRPr="00D86D70" w:rsidRDefault="00D86D70" w:rsidP="00D86D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D70">
        <w:rPr>
          <w:rFonts w:ascii="Times New Roman" w:eastAsia="Times New Roman" w:hAnsi="Times New Roman" w:cs="Times New Roman"/>
          <w:b/>
          <w:bCs/>
          <w:kern w:val="0"/>
          <w:sz w:val="36"/>
          <w:szCs w:val="36"/>
          <w14:ligatures w14:val="none"/>
        </w:rPr>
        <w:t>4. Decision Logic and Position Sizing</w:t>
      </w:r>
    </w:p>
    <w:p w14:paraId="1594A2D6" w14:textId="77777777" w:rsidR="00D86D70" w:rsidRPr="00D86D70" w:rsidRDefault="00D86D70" w:rsidP="00D86D70">
      <w:pPr>
        <w:spacing w:before="100" w:beforeAutospacing="1" w:after="100" w:afterAutospacing="1"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b/>
          <w:bCs/>
          <w:kern w:val="0"/>
          <w14:ligatures w14:val="none"/>
        </w:rPr>
        <w:t>dataflow.png</w:t>
      </w:r>
      <w:r w:rsidRPr="00D86D70">
        <w:rPr>
          <w:rFonts w:ascii="Times New Roman" w:eastAsia="Times New Roman" w:hAnsi="Times New Roman" w:cs="Times New Roman"/>
          <w:kern w:val="0"/>
          <w14:ligatures w14:val="none"/>
        </w:rPr>
        <w:br/>
        <w:t>A comprehensive mapping of all technical indicators, hard gates, and rule-based filters, showing how they feed into the fuzzy logic inference system.</w:t>
      </w:r>
    </w:p>
    <w:p w14:paraId="02379E79" w14:textId="77777777" w:rsidR="00D86D70" w:rsidRPr="00D86D70" w:rsidRDefault="00D86D70" w:rsidP="00D86D70">
      <w:pPr>
        <w:spacing w:before="100" w:beforeAutospacing="1" w:after="100" w:afterAutospacing="1"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b/>
          <w:bCs/>
          <w:kern w:val="0"/>
          <w14:ligatures w14:val="none"/>
        </w:rPr>
        <w:t>fuzzy_sizing_pipeline.png</w:t>
      </w:r>
      <w:r w:rsidRPr="00D86D70">
        <w:rPr>
          <w:rFonts w:ascii="Times New Roman" w:eastAsia="Times New Roman" w:hAnsi="Times New Roman" w:cs="Times New Roman"/>
          <w:kern w:val="0"/>
          <w14:ligatures w14:val="none"/>
        </w:rPr>
        <w:br/>
        <w:t>A detailed diagram of the fuzzy logic engine that computes the Fuzzy Confidence Score. This score directly influences position sizing and risk exposure.</w:t>
      </w:r>
    </w:p>
    <w:p w14:paraId="2AC73A4F" w14:textId="77777777" w:rsidR="00D86D70" w:rsidRPr="00D86D70" w:rsidRDefault="00D86D70" w:rsidP="00D86D70">
      <w:pPr>
        <w:spacing w:before="100" w:beforeAutospacing="1" w:after="100" w:afterAutospacing="1"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b/>
          <w:bCs/>
          <w:kern w:val="0"/>
          <w14:ligatures w14:val="none"/>
        </w:rPr>
        <w:t>membership_curves.png</w:t>
      </w:r>
      <w:r w:rsidRPr="00D86D70">
        <w:rPr>
          <w:rFonts w:ascii="Times New Roman" w:eastAsia="Times New Roman" w:hAnsi="Times New Roman" w:cs="Times New Roman"/>
          <w:kern w:val="0"/>
          <w14:ligatures w14:val="none"/>
        </w:rPr>
        <w:br/>
        <w:t>Visual representations of fuzzy membership functions (e.g., RSI, volatility, VIX proxies) that normalize raw indicator values into bounded confidence scores between 0 and 1.</w:t>
      </w:r>
    </w:p>
    <w:p w14:paraId="3814C4F0" w14:textId="77777777" w:rsidR="00D86D70" w:rsidRPr="00D86D70" w:rsidRDefault="00D86D70" w:rsidP="00D86D70">
      <w:pPr>
        <w:spacing w:before="100" w:beforeAutospacing="1" w:after="100" w:afterAutospacing="1"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b/>
          <w:bCs/>
          <w:kern w:val="0"/>
          <w14:ligatures w14:val="none"/>
        </w:rPr>
        <w:t>position_sizing.png</w:t>
      </w:r>
      <w:r w:rsidRPr="00D86D70">
        <w:rPr>
          <w:rFonts w:ascii="Times New Roman" w:eastAsia="Times New Roman" w:hAnsi="Times New Roman" w:cs="Times New Roman"/>
          <w:kern w:val="0"/>
          <w14:ligatures w14:val="none"/>
        </w:rPr>
        <w:br/>
        <w:t>Illustrates the risk management and sizing logic, including Kelly Criterion-inspired calculations and capital allocation constraints that determine the number of option contracts to trade.</w:t>
      </w:r>
    </w:p>
    <w:p w14:paraId="0FD40CAC" w14:textId="77777777" w:rsidR="00D86D70" w:rsidRPr="00D86D70" w:rsidRDefault="00D86D70" w:rsidP="00D86D70">
      <w:pPr>
        <w:spacing w:before="100" w:beforeAutospacing="1" w:after="100" w:afterAutospacing="1"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b/>
          <w:bCs/>
          <w:kern w:val="0"/>
          <w14:ligatures w14:val="none"/>
        </w:rPr>
        <w:t>entryexitdecision.png</w:t>
      </w:r>
      <w:r w:rsidRPr="00D86D70">
        <w:rPr>
          <w:rFonts w:ascii="Times New Roman" w:eastAsia="Times New Roman" w:hAnsi="Times New Roman" w:cs="Times New Roman"/>
          <w:kern w:val="0"/>
          <w14:ligatures w14:val="none"/>
        </w:rPr>
        <w:br/>
        <w:t>A logic tree diagram describing the decision-making process for entering and exiting Iron Condor positions based on signal strength, confidence thresholds, and market conditions.</w:t>
      </w:r>
    </w:p>
    <w:p w14:paraId="54F6E206" w14:textId="77777777" w:rsidR="00D86D70" w:rsidRPr="00D86D70" w:rsidRDefault="00D86D70" w:rsidP="00D86D70">
      <w:pPr>
        <w:spacing w:before="100" w:beforeAutospacing="1" w:after="100" w:afterAutospacing="1"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b/>
          <w:bCs/>
          <w:kern w:val="0"/>
          <w14:ligatures w14:val="none"/>
        </w:rPr>
        <w:t>exit_priority.png</w:t>
      </w:r>
      <w:r w:rsidRPr="00D86D70">
        <w:rPr>
          <w:rFonts w:ascii="Times New Roman" w:eastAsia="Times New Roman" w:hAnsi="Times New Roman" w:cs="Times New Roman"/>
          <w:kern w:val="0"/>
          <w14:ligatures w14:val="none"/>
        </w:rPr>
        <w:br/>
        <w:t>Defines the hierarchy of exit conditions, ranking profit targets, stop losses, volatility violations, and technical invalidations (such as Bollinger Band breakouts) by priority.</w:t>
      </w:r>
    </w:p>
    <w:p w14:paraId="1E49DB38" w14:textId="77777777" w:rsidR="00D86D70" w:rsidRPr="00D86D70" w:rsidRDefault="00D86D70" w:rsidP="00D86D70">
      <w:pPr>
        <w:spacing w:after="0"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pict w14:anchorId="1C7400DB">
          <v:rect id="_x0000_i1030" style="width:0;height:1.5pt" o:hralign="center" o:hrstd="t" o:hr="t" fillcolor="#a0a0a0" stroked="f"/>
        </w:pict>
      </w:r>
    </w:p>
    <w:p w14:paraId="126BC16C" w14:textId="77777777" w:rsidR="00D86D70" w:rsidRPr="00D86D70" w:rsidRDefault="00D86D70" w:rsidP="00D86D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D70">
        <w:rPr>
          <w:rFonts w:ascii="Times New Roman" w:eastAsia="Times New Roman" w:hAnsi="Times New Roman" w:cs="Times New Roman"/>
          <w:b/>
          <w:bCs/>
          <w:kern w:val="0"/>
          <w:sz w:val="36"/>
          <w:szCs w:val="36"/>
          <w14:ligatures w14:val="none"/>
        </w:rPr>
        <w:t>5. Execution and Optimization</w:t>
      </w:r>
    </w:p>
    <w:p w14:paraId="4AE80A0D" w14:textId="77777777" w:rsidR="00D86D70" w:rsidRPr="00D86D70" w:rsidRDefault="00D86D70" w:rsidP="00D86D70">
      <w:pPr>
        <w:spacing w:before="100" w:beforeAutospacing="1" w:after="100" w:afterAutospacing="1"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b/>
          <w:bCs/>
          <w:kern w:val="0"/>
          <w14:ligatures w14:val="none"/>
        </w:rPr>
        <w:t>institutional_execution_flow.png</w:t>
      </w:r>
      <w:r w:rsidRPr="00D86D70">
        <w:rPr>
          <w:rFonts w:ascii="Times New Roman" w:eastAsia="Times New Roman" w:hAnsi="Times New Roman" w:cs="Times New Roman"/>
          <w:kern w:val="0"/>
          <w14:ligatures w14:val="none"/>
        </w:rPr>
        <w:br/>
        <w:t>Describes the end-to-end execution workflow, including broker interaction, order lifecycle management, pre-trade risk checks, and post-trade validation.</w:t>
      </w:r>
    </w:p>
    <w:p w14:paraId="42D668F1" w14:textId="77777777" w:rsidR="00D86D70" w:rsidRPr="00D86D70" w:rsidRDefault="00D86D70" w:rsidP="00D86D70">
      <w:pPr>
        <w:spacing w:before="100" w:beforeAutospacing="1" w:after="100" w:afterAutospacing="1"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b/>
          <w:bCs/>
          <w:kern w:val="0"/>
          <w14:ligatures w14:val="none"/>
        </w:rPr>
        <w:t>optimization_pipeline.png</w:t>
      </w:r>
      <w:r w:rsidRPr="00D86D70">
        <w:rPr>
          <w:rFonts w:ascii="Times New Roman" w:eastAsia="Times New Roman" w:hAnsi="Times New Roman" w:cs="Times New Roman"/>
          <w:kern w:val="0"/>
          <w14:ligatures w14:val="none"/>
        </w:rPr>
        <w:br/>
        <w:t xml:space="preserve">Illustrates the feedback loop connecting model performance, </w:t>
      </w:r>
      <w:proofErr w:type="spellStart"/>
      <w:r w:rsidRPr="00D86D70">
        <w:rPr>
          <w:rFonts w:ascii="Times New Roman" w:eastAsia="Times New Roman" w:hAnsi="Times New Roman" w:cs="Times New Roman"/>
          <w:kern w:val="0"/>
          <w14:ligatures w14:val="none"/>
        </w:rPr>
        <w:t>backtesting</w:t>
      </w:r>
      <w:proofErr w:type="spellEnd"/>
      <w:r w:rsidRPr="00D86D70">
        <w:rPr>
          <w:rFonts w:ascii="Times New Roman" w:eastAsia="Times New Roman" w:hAnsi="Times New Roman" w:cs="Times New Roman"/>
          <w:kern w:val="0"/>
          <w14:ligatures w14:val="none"/>
        </w:rPr>
        <w:t xml:space="preserve"> results, and live execution metrics back into retraining, hyperparameter tuning, and system optimization.</w:t>
      </w:r>
    </w:p>
    <w:p w14:paraId="3684C5AF" w14:textId="77777777" w:rsidR="00D86D70" w:rsidRPr="00D86D70" w:rsidRDefault="00D86D70" w:rsidP="00D86D70">
      <w:pPr>
        <w:spacing w:after="0" w:line="240" w:lineRule="auto"/>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pict w14:anchorId="2951A4A8">
          <v:rect id="_x0000_i1031" style="width:0;height:1.5pt" o:hralign="center" o:hrstd="t" o:hr="t" fillcolor="#a0a0a0" stroked="f"/>
        </w:pict>
      </w:r>
    </w:p>
    <w:p w14:paraId="303E05AA" w14:textId="64FFBA54" w:rsidR="00D86D70" w:rsidRPr="00D86D70" w:rsidRDefault="00D86D70" w:rsidP="00D86D70">
      <w:r>
        <w:br w:type="page"/>
      </w:r>
    </w:p>
    <w:p w14:paraId="566C287E" w14:textId="5D85101D" w:rsidR="00D86D70" w:rsidRPr="00D86D70" w:rsidRDefault="00D86D70" w:rsidP="00D86D70">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roofErr w:type="spellStart"/>
      <w:r w:rsidRPr="00D86D70">
        <w:rPr>
          <w:rFonts w:ascii="Times New Roman" w:eastAsia="Times New Roman" w:hAnsi="Times New Roman" w:cs="Times New Roman"/>
          <w:b/>
          <w:bCs/>
          <w:kern w:val="36"/>
          <w:sz w:val="48"/>
          <w:szCs w:val="48"/>
          <w14:ligatures w14:val="none"/>
        </w:rPr>
        <w:lastRenderedPageBreak/>
        <w:t>CondorBrain</w:t>
      </w:r>
      <w:proofErr w:type="spellEnd"/>
      <w:r>
        <w:rPr>
          <w:rFonts w:ascii="Times New Roman" w:eastAsia="Times New Roman" w:hAnsi="Times New Roman" w:cs="Times New Roman"/>
          <w:b/>
          <w:bCs/>
          <w:kern w:val="36"/>
          <w:sz w:val="48"/>
          <w:szCs w:val="48"/>
          <w14:ligatures w14:val="none"/>
        </w:rPr>
        <w:t>™-</w:t>
      </w:r>
      <w:proofErr w:type="spellStart"/>
      <w:r>
        <w:rPr>
          <w:rFonts w:ascii="Times New Roman" w:eastAsia="Times New Roman" w:hAnsi="Times New Roman" w:cs="Times New Roman"/>
          <w:b/>
          <w:bCs/>
          <w:kern w:val="36"/>
          <w:sz w:val="48"/>
          <w:szCs w:val="48"/>
          <w14:ligatures w14:val="none"/>
        </w:rPr>
        <w:t>CondorIntelligence</w:t>
      </w:r>
      <w:proofErr w:type="spellEnd"/>
      <w:r>
        <w:rPr>
          <w:rFonts w:ascii="Times New Roman" w:eastAsia="Times New Roman" w:hAnsi="Times New Roman" w:cs="Times New Roman"/>
          <w:b/>
          <w:bCs/>
          <w:kern w:val="36"/>
          <w:sz w:val="48"/>
          <w:szCs w:val="48"/>
          <w14:ligatures w14:val="none"/>
        </w:rPr>
        <w:t>™</w:t>
      </w:r>
      <w:r w:rsidRPr="00D86D70">
        <w:rPr>
          <w:rFonts w:ascii="Times New Roman" w:eastAsia="Times New Roman" w:hAnsi="Times New Roman" w:cs="Times New Roman"/>
          <w:b/>
          <w:bCs/>
          <w:kern w:val="36"/>
          <w:sz w:val="48"/>
          <w:szCs w:val="48"/>
          <w14:ligatures w14:val="none"/>
        </w:rPr>
        <w:t xml:space="preserve"> Architecture – Figure Cross-Reference Table</w:t>
      </w:r>
    </w:p>
    <w:tbl>
      <w:tblPr>
        <w:tblStyle w:val="TableGridLight"/>
        <w:tblW w:w="9625" w:type="dxa"/>
        <w:tblLook w:val="04A0" w:firstRow="1" w:lastRow="0" w:firstColumn="1" w:lastColumn="0" w:noHBand="0" w:noVBand="1"/>
      </w:tblPr>
      <w:tblGrid>
        <w:gridCol w:w="1165"/>
        <w:gridCol w:w="4089"/>
        <w:gridCol w:w="4371"/>
      </w:tblGrid>
      <w:tr w:rsidR="00D86D70" w:rsidRPr="00D86D70" w14:paraId="41A37DCC" w14:textId="77777777" w:rsidTr="00D86D70">
        <w:tc>
          <w:tcPr>
            <w:tcW w:w="1165" w:type="dxa"/>
            <w:hideMark/>
          </w:tcPr>
          <w:p w14:paraId="0E5A4C88" w14:textId="77777777" w:rsidR="00D86D70" w:rsidRPr="00D86D70" w:rsidRDefault="00D86D70" w:rsidP="00D86D70">
            <w:pPr>
              <w:jc w:val="center"/>
              <w:rPr>
                <w:rFonts w:ascii="Times New Roman" w:eastAsia="Times New Roman" w:hAnsi="Times New Roman" w:cs="Times New Roman"/>
                <w:b/>
                <w:bCs/>
                <w:kern w:val="0"/>
                <w14:ligatures w14:val="none"/>
              </w:rPr>
            </w:pPr>
            <w:r w:rsidRPr="00D86D70">
              <w:rPr>
                <w:rFonts w:ascii="Times New Roman" w:eastAsia="Times New Roman" w:hAnsi="Times New Roman" w:cs="Times New Roman"/>
                <w:b/>
                <w:bCs/>
                <w:kern w:val="0"/>
                <w14:ligatures w14:val="none"/>
              </w:rPr>
              <w:t>Figure No.</w:t>
            </w:r>
          </w:p>
        </w:tc>
        <w:tc>
          <w:tcPr>
            <w:tcW w:w="4089" w:type="dxa"/>
            <w:hideMark/>
          </w:tcPr>
          <w:p w14:paraId="3936C051" w14:textId="77777777" w:rsidR="00D86D70" w:rsidRPr="00D86D70" w:rsidRDefault="00D86D70" w:rsidP="00D86D70">
            <w:pPr>
              <w:jc w:val="center"/>
              <w:rPr>
                <w:rFonts w:ascii="Times New Roman" w:eastAsia="Times New Roman" w:hAnsi="Times New Roman" w:cs="Times New Roman"/>
                <w:b/>
                <w:bCs/>
                <w:kern w:val="0"/>
                <w14:ligatures w14:val="none"/>
              </w:rPr>
            </w:pPr>
            <w:r w:rsidRPr="00D86D70">
              <w:rPr>
                <w:rFonts w:ascii="Times New Roman" w:eastAsia="Times New Roman" w:hAnsi="Times New Roman" w:cs="Times New Roman"/>
                <w:b/>
                <w:bCs/>
                <w:kern w:val="0"/>
                <w14:ligatures w14:val="none"/>
              </w:rPr>
              <w:t>File Name</w:t>
            </w:r>
          </w:p>
        </w:tc>
        <w:tc>
          <w:tcPr>
            <w:tcW w:w="4371" w:type="dxa"/>
            <w:hideMark/>
          </w:tcPr>
          <w:p w14:paraId="047CC523" w14:textId="77777777" w:rsidR="00D86D70" w:rsidRPr="00D86D70" w:rsidRDefault="00D86D70" w:rsidP="00D86D70">
            <w:pPr>
              <w:jc w:val="center"/>
              <w:rPr>
                <w:rFonts w:ascii="Times New Roman" w:eastAsia="Times New Roman" w:hAnsi="Times New Roman" w:cs="Times New Roman"/>
                <w:b/>
                <w:bCs/>
                <w:kern w:val="0"/>
                <w14:ligatures w14:val="none"/>
              </w:rPr>
            </w:pPr>
            <w:r w:rsidRPr="00D86D70">
              <w:rPr>
                <w:rFonts w:ascii="Times New Roman" w:eastAsia="Times New Roman" w:hAnsi="Times New Roman" w:cs="Times New Roman"/>
                <w:b/>
                <w:bCs/>
                <w:kern w:val="0"/>
                <w14:ligatures w14:val="none"/>
              </w:rPr>
              <w:t>Figure Title / Description</w:t>
            </w:r>
          </w:p>
        </w:tc>
      </w:tr>
      <w:tr w:rsidR="00D86D70" w:rsidRPr="00D86D70" w14:paraId="39FE8E22" w14:textId="77777777" w:rsidTr="00D86D70">
        <w:tc>
          <w:tcPr>
            <w:tcW w:w="1165" w:type="dxa"/>
            <w:hideMark/>
          </w:tcPr>
          <w:p w14:paraId="381DC9C9"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Figure 1</w:t>
            </w:r>
          </w:p>
        </w:tc>
        <w:tc>
          <w:tcPr>
            <w:tcW w:w="4089" w:type="dxa"/>
            <w:hideMark/>
          </w:tcPr>
          <w:p w14:paraId="69D2F337"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diagram_map.png</w:t>
            </w:r>
          </w:p>
        </w:tc>
        <w:tc>
          <w:tcPr>
            <w:tcW w:w="4371" w:type="dxa"/>
            <w:hideMark/>
          </w:tcPr>
          <w:p w14:paraId="5CC984F5"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 xml:space="preserve">Master Navigational Map of </w:t>
            </w:r>
            <w:proofErr w:type="spellStart"/>
            <w:r w:rsidRPr="00D86D70">
              <w:rPr>
                <w:rFonts w:ascii="Times New Roman" w:eastAsia="Times New Roman" w:hAnsi="Times New Roman" w:cs="Times New Roman"/>
                <w:kern w:val="0"/>
                <w14:ligatures w14:val="none"/>
              </w:rPr>
              <w:t>CondorBrain</w:t>
            </w:r>
            <w:proofErr w:type="spellEnd"/>
            <w:r w:rsidRPr="00D86D70">
              <w:rPr>
                <w:rFonts w:ascii="Times New Roman" w:eastAsia="Times New Roman" w:hAnsi="Times New Roman" w:cs="Times New Roman"/>
                <w:kern w:val="0"/>
                <w14:ligatures w14:val="none"/>
              </w:rPr>
              <w:t xml:space="preserve"> Architecture</w:t>
            </w:r>
          </w:p>
        </w:tc>
      </w:tr>
      <w:tr w:rsidR="00D86D70" w:rsidRPr="00D86D70" w14:paraId="5D7CDCAB" w14:textId="77777777" w:rsidTr="00D86D70">
        <w:tc>
          <w:tcPr>
            <w:tcW w:w="1165" w:type="dxa"/>
            <w:hideMark/>
          </w:tcPr>
          <w:p w14:paraId="759F941A"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Figure 2</w:t>
            </w:r>
          </w:p>
        </w:tc>
        <w:tc>
          <w:tcPr>
            <w:tcW w:w="4089" w:type="dxa"/>
            <w:hideMark/>
          </w:tcPr>
          <w:p w14:paraId="06019CEA"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system_overview.png</w:t>
            </w:r>
          </w:p>
        </w:tc>
        <w:tc>
          <w:tcPr>
            <w:tcW w:w="4371" w:type="dxa"/>
            <w:hideMark/>
          </w:tcPr>
          <w:p w14:paraId="06ED6D0A"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High-Level System Overview: Data, Intelligence, and Execution Layers</w:t>
            </w:r>
          </w:p>
        </w:tc>
      </w:tr>
      <w:tr w:rsidR="00D86D70" w:rsidRPr="00D86D70" w14:paraId="13B0221C" w14:textId="77777777" w:rsidTr="00D86D70">
        <w:tc>
          <w:tcPr>
            <w:tcW w:w="1165" w:type="dxa"/>
            <w:hideMark/>
          </w:tcPr>
          <w:p w14:paraId="1A2A6344"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Figure 3</w:t>
            </w:r>
          </w:p>
        </w:tc>
        <w:tc>
          <w:tcPr>
            <w:tcW w:w="4089" w:type="dxa"/>
            <w:hideMark/>
          </w:tcPr>
          <w:p w14:paraId="672EE4B1"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full_system_architecture.png</w:t>
            </w:r>
          </w:p>
        </w:tc>
        <w:tc>
          <w:tcPr>
            <w:tcW w:w="4371" w:type="dxa"/>
            <w:hideMark/>
          </w:tcPr>
          <w:p w14:paraId="0D0854F6"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 xml:space="preserve">Full </w:t>
            </w:r>
            <w:proofErr w:type="spellStart"/>
            <w:r w:rsidRPr="00D86D70">
              <w:rPr>
                <w:rFonts w:ascii="Times New Roman" w:eastAsia="Times New Roman" w:hAnsi="Times New Roman" w:cs="Times New Roman"/>
                <w:kern w:val="0"/>
                <w14:ligatures w14:val="none"/>
              </w:rPr>
              <w:t>CondorBrain</w:t>
            </w:r>
            <w:proofErr w:type="spellEnd"/>
            <w:r w:rsidRPr="00D86D70">
              <w:rPr>
                <w:rFonts w:ascii="Times New Roman" w:eastAsia="Times New Roman" w:hAnsi="Times New Roman" w:cs="Times New Roman"/>
                <w:kern w:val="0"/>
                <w14:ligatures w14:val="none"/>
              </w:rPr>
              <w:t xml:space="preserve"> System Architecture (V2.2 Reference Specification)</w:t>
            </w:r>
          </w:p>
        </w:tc>
      </w:tr>
      <w:tr w:rsidR="00D86D70" w:rsidRPr="00D86D70" w14:paraId="67AD235A" w14:textId="77777777" w:rsidTr="00D86D70">
        <w:tc>
          <w:tcPr>
            <w:tcW w:w="1165" w:type="dxa"/>
            <w:hideMark/>
          </w:tcPr>
          <w:p w14:paraId="67193D3F"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Figure 4</w:t>
            </w:r>
          </w:p>
        </w:tc>
        <w:tc>
          <w:tcPr>
            <w:tcW w:w="4089" w:type="dxa"/>
            <w:hideMark/>
          </w:tcPr>
          <w:p w14:paraId="4E4F991D"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phase2_phase3_architecture.png</w:t>
            </w:r>
          </w:p>
        </w:tc>
        <w:tc>
          <w:tcPr>
            <w:tcW w:w="4371" w:type="dxa"/>
            <w:hideMark/>
          </w:tcPr>
          <w:p w14:paraId="5EB1D7B5"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Phase 2 → Phase 3 Architectural Roadmap</w:t>
            </w:r>
          </w:p>
        </w:tc>
      </w:tr>
      <w:tr w:rsidR="00D86D70" w:rsidRPr="00D86D70" w14:paraId="20B6C23A" w14:textId="77777777" w:rsidTr="00D86D70">
        <w:tc>
          <w:tcPr>
            <w:tcW w:w="1165" w:type="dxa"/>
            <w:hideMark/>
          </w:tcPr>
          <w:p w14:paraId="78322369"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Figure 5</w:t>
            </w:r>
          </w:p>
        </w:tc>
        <w:tc>
          <w:tcPr>
            <w:tcW w:w="4089" w:type="dxa"/>
            <w:hideMark/>
          </w:tcPr>
          <w:p w14:paraId="36856CAE"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enhanced_architecture.png</w:t>
            </w:r>
          </w:p>
        </w:tc>
        <w:tc>
          <w:tcPr>
            <w:tcW w:w="4371" w:type="dxa"/>
            <w:hideMark/>
          </w:tcPr>
          <w:p w14:paraId="37A71AAA"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 xml:space="preserve">Enhanced Intelligence Architecture with Mamba-2, Diffusion, and </w:t>
            </w:r>
            <w:proofErr w:type="gramStart"/>
            <w:r w:rsidRPr="00D86D70">
              <w:rPr>
                <w:rFonts w:ascii="Times New Roman" w:eastAsia="Times New Roman" w:hAnsi="Times New Roman" w:cs="Times New Roman"/>
                <w:kern w:val="0"/>
                <w14:ligatures w14:val="none"/>
              </w:rPr>
              <w:t>Top-K</w:t>
            </w:r>
            <w:proofErr w:type="gramEnd"/>
            <w:r w:rsidRPr="00D86D70">
              <w:rPr>
                <w:rFonts w:ascii="Times New Roman" w:eastAsia="Times New Roman" w:hAnsi="Times New Roman" w:cs="Times New Roman"/>
                <w:kern w:val="0"/>
                <w14:ligatures w14:val="none"/>
              </w:rPr>
              <w:t xml:space="preserve"> </w:t>
            </w:r>
            <w:proofErr w:type="spellStart"/>
            <w:r w:rsidRPr="00D86D70">
              <w:rPr>
                <w:rFonts w:ascii="Times New Roman" w:eastAsia="Times New Roman" w:hAnsi="Times New Roman" w:cs="Times New Roman"/>
                <w:kern w:val="0"/>
                <w14:ligatures w14:val="none"/>
              </w:rPr>
              <w:t>MoE</w:t>
            </w:r>
            <w:proofErr w:type="spellEnd"/>
          </w:p>
        </w:tc>
      </w:tr>
      <w:tr w:rsidR="00D86D70" w:rsidRPr="00D86D70" w14:paraId="0C665415" w14:textId="77777777" w:rsidTr="00D86D70">
        <w:tc>
          <w:tcPr>
            <w:tcW w:w="1165" w:type="dxa"/>
            <w:hideMark/>
          </w:tcPr>
          <w:p w14:paraId="1E45F613"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Figure 6</w:t>
            </w:r>
          </w:p>
        </w:tc>
        <w:tc>
          <w:tcPr>
            <w:tcW w:w="4089" w:type="dxa"/>
            <w:hideMark/>
          </w:tcPr>
          <w:p w14:paraId="7CFE09EB"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mamba_engine_logic.png</w:t>
            </w:r>
          </w:p>
        </w:tc>
        <w:tc>
          <w:tcPr>
            <w:tcW w:w="4371" w:type="dxa"/>
            <w:hideMark/>
          </w:tcPr>
          <w:p w14:paraId="38CF8677"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Internal Mamba-2 Engine Logic and Selective Scan SSM</w:t>
            </w:r>
          </w:p>
        </w:tc>
      </w:tr>
      <w:tr w:rsidR="00D86D70" w:rsidRPr="00D86D70" w14:paraId="2F33941D" w14:textId="77777777" w:rsidTr="00D86D70">
        <w:tc>
          <w:tcPr>
            <w:tcW w:w="1165" w:type="dxa"/>
            <w:hideMark/>
          </w:tcPr>
          <w:p w14:paraId="4CB45CBB"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Figure 7</w:t>
            </w:r>
          </w:p>
        </w:tc>
        <w:tc>
          <w:tcPr>
            <w:tcW w:w="4089" w:type="dxa"/>
            <w:hideMark/>
          </w:tcPr>
          <w:p w14:paraId="3E564721"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condor_intelligence_flow.png</w:t>
            </w:r>
          </w:p>
        </w:tc>
        <w:tc>
          <w:tcPr>
            <w:tcW w:w="4371" w:type="dxa"/>
            <w:hideMark/>
          </w:tcPr>
          <w:p w14:paraId="0EF384A0"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Standard Neural Intelligence Flow</w:t>
            </w:r>
          </w:p>
        </w:tc>
      </w:tr>
      <w:tr w:rsidR="00D86D70" w:rsidRPr="00D86D70" w14:paraId="36A8C502" w14:textId="77777777" w:rsidTr="00D86D70">
        <w:tc>
          <w:tcPr>
            <w:tcW w:w="1165" w:type="dxa"/>
            <w:hideMark/>
          </w:tcPr>
          <w:p w14:paraId="68C5F9E5"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Figure 8</w:t>
            </w:r>
          </w:p>
        </w:tc>
        <w:tc>
          <w:tcPr>
            <w:tcW w:w="4089" w:type="dxa"/>
            <w:hideMark/>
          </w:tcPr>
          <w:p w14:paraId="0E10AC79"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condor_intelligence_flow_premium.png</w:t>
            </w:r>
          </w:p>
        </w:tc>
        <w:tc>
          <w:tcPr>
            <w:tcW w:w="4371" w:type="dxa"/>
            <w:hideMark/>
          </w:tcPr>
          <w:p w14:paraId="30B54F1C"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Premium Intelligence Flow with TDA and Generative Diffusion</w:t>
            </w:r>
          </w:p>
        </w:tc>
      </w:tr>
      <w:tr w:rsidR="00D86D70" w:rsidRPr="00D86D70" w14:paraId="6115C2AA" w14:textId="77777777" w:rsidTr="00D86D70">
        <w:tc>
          <w:tcPr>
            <w:tcW w:w="1165" w:type="dxa"/>
            <w:hideMark/>
          </w:tcPr>
          <w:p w14:paraId="039A9D6B"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Figure 9</w:t>
            </w:r>
          </w:p>
        </w:tc>
        <w:tc>
          <w:tcPr>
            <w:tcW w:w="4089" w:type="dxa"/>
            <w:hideMark/>
          </w:tcPr>
          <w:p w14:paraId="5D95D47B"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pipeline_diagram.png</w:t>
            </w:r>
          </w:p>
        </w:tc>
        <w:tc>
          <w:tcPr>
            <w:tcW w:w="4371" w:type="dxa"/>
            <w:hideMark/>
          </w:tcPr>
          <w:p w14:paraId="58055EE1"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Market Data ETL and Processing Pipeline</w:t>
            </w:r>
          </w:p>
        </w:tc>
      </w:tr>
      <w:tr w:rsidR="00D86D70" w:rsidRPr="00D86D70" w14:paraId="11683D24" w14:textId="77777777" w:rsidTr="00D86D70">
        <w:tc>
          <w:tcPr>
            <w:tcW w:w="1165" w:type="dxa"/>
            <w:hideMark/>
          </w:tcPr>
          <w:p w14:paraId="1AD9E74D"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Figure 10</w:t>
            </w:r>
          </w:p>
        </w:tc>
        <w:tc>
          <w:tcPr>
            <w:tcW w:w="4089" w:type="dxa"/>
            <w:hideMark/>
          </w:tcPr>
          <w:p w14:paraId="348B2BE5"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data_pipeline_detailed.png</w:t>
            </w:r>
          </w:p>
        </w:tc>
        <w:tc>
          <w:tcPr>
            <w:tcW w:w="4371" w:type="dxa"/>
            <w:hideMark/>
          </w:tcPr>
          <w:p w14:paraId="5A1FCF80"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 xml:space="preserve">Detailed Data Ingestion and </w:t>
            </w:r>
            <w:proofErr w:type="spellStart"/>
            <w:r w:rsidRPr="00D86D70">
              <w:rPr>
                <w:rFonts w:ascii="Times New Roman" w:eastAsia="Times New Roman" w:hAnsi="Times New Roman" w:cs="Times New Roman"/>
                <w:kern w:val="0"/>
                <w14:ligatures w14:val="none"/>
              </w:rPr>
              <w:t>MarketSnapshot</w:t>
            </w:r>
            <w:proofErr w:type="spellEnd"/>
            <w:r w:rsidRPr="00D86D70">
              <w:rPr>
                <w:rFonts w:ascii="Times New Roman" w:eastAsia="Times New Roman" w:hAnsi="Times New Roman" w:cs="Times New Roman"/>
                <w:kern w:val="0"/>
                <w14:ligatures w14:val="none"/>
              </w:rPr>
              <w:t xml:space="preserve"> Construction</w:t>
            </w:r>
          </w:p>
        </w:tc>
      </w:tr>
      <w:tr w:rsidR="00D86D70" w:rsidRPr="00D86D70" w14:paraId="23C0F295" w14:textId="77777777" w:rsidTr="00D86D70">
        <w:tc>
          <w:tcPr>
            <w:tcW w:w="1165" w:type="dxa"/>
            <w:hideMark/>
          </w:tcPr>
          <w:p w14:paraId="66FE472C"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Figure 11</w:t>
            </w:r>
          </w:p>
        </w:tc>
        <w:tc>
          <w:tcPr>
            <w:tcW w:w="4089" w:type="dxa"/>
            <w:hideMark/>
          </w:tcPr>
          <w:p w14:paraId="43FD4C8F"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lag_alignment_flow.png</w:t>
            </w:r>
          </w:p>
        </w:tc>
        <w:tc>
          <w:tcPr>
            <w:tcW w:w="4371" w:type="dxa"/>
            <w:hideMark/>
          </w:tcPr>
          <w:p w14:paraId="676EE12A"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Lag and Timestamp Alignment Logic for Delayed Data</w:t>
            </w:r>
          </w:p>
        </w:tc>
      </w:tr>
      <w:tr w:rsidR="00D86D70" w:rsidRPr="00D86D70" w14:paraId="459E0949" w14:textId="77777777" w:rsidTr="00D86D70">
        <w:tc>
          <w:tcPr>
            <w:tcW w:w="1165" w:type="dxa"/>
            <w:hideMark/>
          </w:tcPr>
          <w:p w14:paraId="3C270E4E"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Figure 12</w:t>
            </w:r>
          </w:p>
        </w:tc>
        <w:tc>
          <w:tcPr>
            <w:tcW w:w="4089" w:type="dxa"/>
            <w:hideMark/>
          </w:tcPr>
          <w:p w14:paraId="415C8773"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dataflow.png</w:t>
            </w:r>
          </w:p>
        </w:tc>
        <w:tc>
          <w:tcPr>
            <w:tcW w:w="4371" w:type="dxa"/>
            <w:hideMark/>
          </w:tcPr>
          <w:p w14:paraId="15C51AB3"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Indicator and Signal Dataflow into Decision Logic</w:t>
            </w:r>
          </w:p>
        </w:tc>
      </w:tr>
      <w:tr w:rsidR="00D86D70" w:rsidRPr="00D86D70" w14:paraId="3AA489AB" w14:textId="77777777" w:rsidTr="00D86D70">
        <w:tc>
          <w:tcPr>
            <w:tcW w:w="1165" w:type="dxa"/>
            <w:hideMark/>
          </w:tcPr>
          <w:p w14:paraId="5AD72191"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Figure 13</w:t>
            </w:r>
          </w:p>
        </w:tc>
        <w:tc>
          <w:tcPr>
            <w:tcW w:w="4089" w:type="dxa"/>
            <w:hideMark/>
          </w:tcPr>
          <w:p w14:paraId="0A2F8EAC"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fuzzy_sizing_pipeline.png</w:t>
            </w:r>
          </w:p>
        </w:tc>
        <w:tc>
          <w:tcPr>
            <w:tcW w:w="4371" w:type="dxa"/>
            <w:hideMark/>
          </w:tcPr>
          <w:p w14:paraId="5D810B8A"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Fuzzy Logic Inference and Confidence Scoring Pipeline</w:t>
            </w:r>
          </w:p>
        </w:tc>
      </w:tr>
      <w:tr w:rsidR="00D86D70" w:rsidRPr="00D86D70" w14:paraId="5532F844" w14:textId="77777777" w:rsidTr="00D86D70">
        <w:tc>
          <w:tcPr>
            <w:tcW w:w="1165" w:type="dxa"/>
            <w:hideMark/>
          </w:tcPr>
          <w:p w14:paraId="55424B79"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Figure 14</w:t>
            </w:r>
          </w:p>
        </w:tc>
        <w:tc>
          <w:tcPr>
            <w:tcW w:w="4089" w:type="dxa"/>
            <w:hideMark/>
          </w:tcPr>
          <w:p w14:paraId="6B563F70"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membership_curves.png</w:t>
            </w:r>
          </w:p>
        </w:tc>
        <w:tc>
          <w:tcPr>
            <w:tcW w:w="4371" w:type="dxa"/>
            <w:hideMark/>
          </w:tcPr>
          <w:p w14:paraId="66CCADC3"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Fuzzy Membership Functions and Normalization Curves</w:t>
            </w:r>
          </w:p>
        </w:tc>
      </w:tr>
      <w:tr w:rsidR="00D86D70" w:rsidRPr="00D86D70" w14:paraId="22070FBF" w14:textId="77777777" w:rsidTr="00D86D70">
        <w:tc>
          <w:tcPr>
            <w:tcW w:w="1165" w:type="dxa"/>
            <w:hideMark/>
          </w:tcPr>
          <w:p w14:paraId="1F6B2E29"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Figure 15</w:t>
            </w:r>
          </w:p>
        </w:tc>
        <w:tc>
          <w:tcPr>
            <w:tcW w:w="4089" w:type="dxa"/>
            <w:hideMark/>
          </w:tcPr>
          <w:p w14:paraId="6DD68C1F"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position_sizing.png</w:t>
            </w:r>
          </w:p>
        </w:tc>
        <w:tc>
          <w:tcPr>
            <w:tcW w:w="4371" w:type="dxa"/>
            <w:hideMark/>
          </w:tcPr>
          <w:p w14:paraId="5ACA6810"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Position Sizing and Risk Allocation Logic</w:t>
            </w:r>
          </w:p>
        </w:tc>
      </w:tr>
      <w:tr w:rsidR="00D86D70" w:rsidRPr="00D86D70" w14:paraId="78609AE3" w14:textId="77777777" w:rsidTr="00D86D70">
        <w:tc>
          <w:tcPr>
            <w:tcW w:w="1165" w:type="dxa"/>
            <w:hideMark/>
          </w:tcPr>
          <w:p w14:paraId="03F3D560"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Figure 16</w:t>
            </w:r>
          </w:p>
        </w:tc>
        <w:tc>
          <w:tcPr>
            <w:tcW w:w="4089" w:type="dxa"/>
            <w:hideMark/>
          </w:tcPr>
          <w:p w14:paraId="3C4D8630"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entryexitdecision.png</w:t>
            </w:r>
          </w:p>
        </w:tc>
        <w:tc>
          <w:tcPr>
            <w:tcW w:w="4371" w:type="dxa"/>
            <w:hideMark/>
          </w:tcPr>
          <w:p w14:paraId="0521AFC4"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Trade Entry and Exit Decision Logic</w:t>
            </w:r>
          </w:p>
        </w:tc>
      </w:tr>
      <w:tr w:rsidR="00D86D70" w:rsidRPr="00D86D70" w14:paraId="48B84266" w14:textId="77777777" w:rsidTr="00D86D70">
        <w:tc>
          <w:tcPr>
            <w:tcW w:w="1165" w:type="dxa"/>
            <w:hideMark/>
          </w:tcPr>
          <w:p w14:paraId="2D22E882"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Figure 17</w:t>
            </w:r>
          </w:p>
        </w:tc>
        <w:tc>
          <w:tcPr>
            <w:tcW w:w="4089" w:type="dxa"/>
            <w:hideMark/>
          </w:tcPr>
          <w:p w14:paraId="2F3E8863"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exit_priority.png</w:t>
            </w:r>
          </w:p>
        </w:tc>
        <w:tc>
          <w:tcPr>
            <w:tcW w:w="4371" w:type="dxa"/>
            <w:hideMark/>
          </w:tcPr>
          <w:p w14:paraId="0D030A8C"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Exit Condition Priority Hierarchy</w:t>
            </w:r>
          </w:p>
        </w:tc>
      </w:tr>
      <w:tr w:rsidR="00D86D70" w:rsidRPr="00D86D70" w14:paraId="1C040447" w14:textId="77777777" w:rsidTr="00D86D70">
        <w:tc>
          <w:tcPr>
            <w:tcW w:w="1165" w:type="dxa"/>
            <w:hideMark/>
          </w:tcPr>
          <w:p w14:paraId="5FD81CF8"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Figure 18</w:t>
            </w:r>
          </w:p>
        </w:tc>
        <w:tc>
          <w:tcPr>
            <w:tcW w:w="4089" w:type="dxa"/>
            <w:hideMark/>
          </w:tcPr>
          <w:p w14:paraId="00DC2EBD"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institutional_execution_flow.png</w:t>
            </w:r>
          </w:p>
        </w:tc>
        <w:tc>
          <w:tcPr>
            <w:tcW w:w="4371" w:type="dxa"/>
            <w:hideMark/>
          </w:tcPr>
          <w:p w14:paraId="19F9B791"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Institutional-Grade Trade Execution Workflow</w:t>
            </w:r>
          </w:p>
        </w:tc>
      </w:tr>
      <w:tr w:rsidR="00D86D70" w:rsidRPr="00D86D70" w14:paraId="0C686B2D" w14:textId="77777777" w:rsidTr="00D86D70">
        <w:tc>
          <w:tcPr>
            <w:tcW w:w="1165" w:type="dxa"/>
            <w:hideMark/>
          </w:tcPr>
          <w:p w14:paraId="6124EB86"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Figure 19</w:t>
            </w:r>
          </w:p>
        </w:tc>
        <w:tc>
          <w:tcPr>
            <w:tcW w:w="4089" w:type="dxa"/>
            <w:hideMark/>
          </w:tcPr>
          <w:p w14:paraId="606C6010"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optimization_pipeline.png</w:t>
            </w:r>
          </w:p>
        </w:tc>
        <w:tc>
          <w:tcPr>
            <w:tcW w:w="4371" w:type="dxa"/>
            <w:hideMark/>
          </w:tcPr>
          <w:p w14:paraId="38AE2905" w14:textId="77777777" w:rsidR="00D86D70" w:rsidRPr="00D86D70" w:rsidRDefault="00D86D70" w:rsidP="00D86D70">
            <w:pPr>
              <w:rPr>
                <w:rFonts w:ascii="Times New Roman" w:eastAsia="Times New Roman" w:hAnsi="Times New Roman" w:cs="Times New Roman"/>
                <w:kern w:val="0"/>
                <w14:ligatures w14:val="none"/>
              </w:rPr>
            </w:pPr>
            <w:r w:rsidRPr="00D86D70">
              <w:rPr>
                <w:rFonts w:ascii="Times New Roman" w:eastAsia="Times New Roman" w:hAnsi="Times New Roman" w:cs="Times New Roman"/>
                <w:kern w:val="0"/>
                <w14:ligatures w14:val="none"/>
              </w:rPr>
              <w:t>Training, Feedback, and Optimization Loop</w:t>
            </w:r>
          </w:p>
        </w:tc>
      </w:tr>
    </w:tbl>
    <w:p w14:paraId="77360B89" w14:textId="4926D6EF" w:rsidR="00D86D70" w:rsidRPr="00D86D70" w:rsidRDefault="00D86D70" w:rsidP="00D86D70">
      <w:pPr>
        <w:spacing w:after="0" w:line="240" w:lineRule="auto"/>
        <w:rPr>
          <w:rFonts w:ascii="Times New Roman" w:eastAsia="Times New Roman" w:hAnsi="Times New Roman" w:cs="Times New Roman"/>
          <w:kern w:val="0"/>
          <w14:ligatures w14:val="none"/>
        </w:rPr>
      </w:pPr>
    </w:p>
    <w:sectPr w:rsidR="00D86D70" w:rsidRPr="00D86D7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6B470" w14:textId="77777777" w:rsidR="00F17F4D" w:rsidRDefault="00F17F4D" w:rsidP="006C4D7F">
      <w:pPr>
        <w:spacing w:after="0" w:line="240" w:lineRule="auto"/>
      </w:pPr>
      <w:r>
        <w:separator/>
      </w:r>
    </w:p>
  </w:endnote>
  <w:endnote w:type="continuationSeparator" w:id="0">
    <w:p w14:paraId="1C72ACA3" w14:textId="77777777" w:rsidR="00F17F4D" w:rsidRDefault="00F17F4D" w:rsidP="006C4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3549337"/>
      <w:docPartObj>
        <w:docPartGallery w:val="Page Numbers (Bottom of Page)"/>
        <w:docPartUnique/>
      </w:docPartObj>
    </w:sdtPr>
    <w:sdtEndPr>
      <w:rPr>
        <w:color w:val="7F7F7F" w:themeColor="background1" w:themeShade="7F"/>
        <w:spacing w:val="60"/>
      </w:rPr>
    </w:sdtEndPr>
    <w:sdtContent>
      <w:p w14:paraId="485C9720" w14:textId="0404374E" w:rsidR="0019334B" w:rsidRDefault="0019334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5C4E909" w14:textId="77777777" w:rsidR="0019334B" w:rsidRDefault="00193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778CE" w14:textId="77777777" w:rsidR="00F17F4D" w:rsidRDefault="00F17F4D" w:rsidP="006C4D7F">
      <w:pPr>
        <w:spacing w:after="0" w:line="240" w:lineRule="auto"/>
      </w:pPr>
      <w:r>
        <w:separator/>
      </w:r>
    </w:p>
  </w:footnote>
  <w:footnote w:type="continuationSeparator" w:id="0">
    <w:p w14:paraId="23A8CD60" w14:textId="77777777" w:rsidR="00F17F4D" w:rsidRDefault="00F17F4D" w:rsidP="006C4D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328FB" w14:textId="1A60618F" w:rsidR="006C4D7F" w:rsidRDefault="006C4D7F">
    <w:pPr>
      <w:pStyle w:val="Header"/>
      <w:rPr>
        <w:sz w:val="20"/>
        <w:szCs w:val="20"/>
      </w:rPr>
    </w:pPr>
    <w:r w:rsidRPr="0019334B">
      <w:rPr>
        <w:sz w:val="20"/>
        <w:szCs w:val="20"/>
      </w:rPr>
      <w:t>© 2026 by Dr. T. Jerry Mahabub, Ph.D.</w:t>
    </w:r>
    <w:r w:rsidRPr="0019334B">
      <w:rPr>
        <w:sz w:val="20"/>
        <w:szCs w:val="20"/>
      </w:rPr>
      <w:tab/>
    </w:r>
    <w:r w:rsidRPr="0019334B">
      <w:rPr>
        <w:b/>
        <w:bCs/>
        <w:color w:val="EE0000"/>
        <w:sz w:val="20"/>
        <w:szCs w:val="20"/>
      </w:rPr>
      <w:t>Confidential</w:t>
    </w:r>
    <w:r w:rsidR="0019334B">
      <w:rPr>
        <w:b/>
        <w:bCs/>
        <w:color w:val="EE0000"/>
        <w:sz w:val="20"/>
        <w:szCs w:val="20"/>
      </w:rPr>
      <w:tab/>
    </w:r>
    <w:r w:rsidR="0019334B">
      <w:rPr>
        <w:sz w:val="20"/>
        <w:szCs w:val="20"/>
      </w:rPr>
      <w:t>January 17, 2026</w:t>
    </w:r>
  </w:p>
  <w:p w14:paraId="44AC6FAD" w14:textId="6BA5917E" w:rsidR="0019334B" w:rsidRPr="0019334B" w:rsidRDefault="0019334B">
    <w:pPr>
      <w:pStyle w:val="Header"/>
      <w:rPr>
        <w:sz w:val="18"/>
        <w:szCs w:val="18"/>
      </w:rPr>
    </w:pPr>
    <w:r w:rsidRPr="0019334B">
      <w:rPr>
        <w:sz w:val="18"/>
        <w:szCs w:val="18"/>
      </w:rPr>
      <w:t>All rights reserved.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E6F7A"/>
    <w:multiLevelType w:val="multilevel"/>
    <w:tmpl w:val="1E7A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C31140"/>
    <w:multiLevelType w:val="multilevel"/>
    <w:tmpl w:val="DDE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738D4"/>
    <w:multiLevelType w:val="multilevel"/>
    <w:tmpl w:val="B6BA7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422793">
    <w:abstractNumId w:val="0"/>
  </w:num>
  <w:num w:numId="2" w16cid:durableId="466355975">
    <w:abstractNumId w:val="2"/>
  </w:num>
  <w:num w:numId="3" w16cid:durableId="283460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D70"/>
    <w:rsid w:val="0019334B"/>
    <w:rsid w:val="00457995"/>
    <w:rsid w:val="006C4D7F"/>
    <w:rsid w:val="00BC252E"/>
    <w:rsid w:val="00D86D70"/>
    <w:rsid w:val="00F17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35403"/>
  <w15:chartTrackingRefBased/>
  <w15:docId w15:val="{F81C5DC6-7B96-476F-B1E0-B4521134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D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D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D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D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D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D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D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D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D70"/>
    <w:rPr>
      <w:rFonts w:eastAsiaTheme="majorEastAsia" w:cstheme="majorBidi"/>
      <w:color w:val="272727" w:themeColor="text1" w:themeTint="D8"/>
    </w:rPr>
  </w:style>
  <w:style w:type="paragraph" w:styleId="Title">
    <w:name w:val="Title"/>
    <w:basedOn w:val="Normal"/>
    <w:next w:val="Normal"/>
    <w:link w:val="TitleChar"/>
    <w:uiPriority w:val="10"/>
    <w:qFormat/>
    <w:rsid w:val="00D86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D70"/>
    <w:pPr>
      <w:spacing w:before="160"/>
      <w:jc w:val="center"/>
    </w:pPr>
    <w:rPr>
      <w:i/>
      <w:iCs/>
      <w:color w:val="404040" w:themeColor="text1" w:themeTint="BF"/>
    </w:rPr>
  </w:style>
  <w:style w:type="character" w:customStyle="1" w:styleId="QuoteChar">
    <w:name w:val="Quote Char"/>
    <w:basedOn w:val="DefaultParagraphFont"/>
    <w:link w:val="Quote"/>
    <w:uiPriority w:val="29"/>
    <w:rsid w:val="00D86D70"/>
    <w:rPr>
      <w:i/>
      <w:iCs/>
      <w:color w:val="404040" w:themeColor="text1" w:themeTint="BF"/>
    </w:rPr>
  </w:style>
  <w:style w:type="paragraph" w:styleId="ListParagraph">
    <w:name w:val="List Paragraph"/>
    <w:basedOn w:val="Normal"/>
    <w:uiPriority w:val="34"/>
    <w:qFormat/>
    <w:rsid w:val="00D86D70"/>
    <w:pPr>
      <w:ind w:left="720"/>
      <w:contextualSpacing/>
    </w:pPr>
  </w:style>
  <w:style w:type="character" w:styleId="IntenseEmphasis">
    <w:name w:val="Intense Emphasis"/>
    <w:basedOn w:val="DefaultParagraphFont"/>
    <w:uiPriority w:val="21"/>
    <w:qFormat/>
    <w:rsid w:val="00D86D70"/>
    <w:rPr>
      <w:i/>
      <w:iCs/>
      <w:color w:val="0F4761" w:themeColor="accent1" w:themeShade="BF"/>
    </w:rPr>
  </w:style>
  <w:style w:type="paragraph" w:styleId="IntenseQuote">
    <w:name w:val="Intense Quote"/>
    <w:basedOn w:val="Normal"/>
    <w:next w:val="Normal"/>
    <w:link w:val="IntenseQuoteChar"/>
    <w:uiPriority w:val="30"/>
    <w:qFormat/>
    <w:rsid w:val="00D86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D70"/>
    <w:rPr>
      <w:i/>
      <w:iCs/>
      <w:color w:val="0F4761" w:themeColor="accent1" w:themeShade="BF"/>
    </w:rPr>
  </w:style>
  <w:style w:type="character" w:styleId="IntenseReference">
    <w:name w:val="Intense Reference"/>
    <w:basedOn w:val="DefaultParagraphFont"/>
    <w:uiPriority w:val="32"/>
    <w:qFormat/>
    <w:rsid w:val="00D86D70"/>
    <w:rPr>
      <w:b/>
      <w:bCs/>
      <w:smallCaps/>
      <w:color w:val="0F4761" w:themeColor="accent1" w:themeShade="BF"/>
      <w:spacing w:val="5"/>
    </w:rPr>
  </w:style>
  <w:style w:type="table" w:styleId="TableGrid">
    <w:name w:val="Table Grid"/>
    <w:basedOn w:val="TableNormal"/>
    <w:uiPriority w:val="39"/>
    <w:rsid w:val="00D86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86D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86D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C4D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D7F"/>
  </w:style>
  <w:style w:type="paragraph" w:styleId="Footer">
    <w:name w:val="footer"/>
    <w:basedOn w:val="Normal"/>
    <w:link w:val="FooterChar"/>
    <w:uiPriority w:val="99"/>
    <w:unhideWhenUsed/>
    <w:rsid w:val="006C4D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D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829</Words>
  <Characters>5886</Characters>
  <Application>Microsoft Office Word</Application>
  <DocSecurity>0</DocSecurity>
  <Lines>120</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FIGHT THE DEMONS</dc:creator>
  <cp:keywords/>
  <dc:description/>
  <cp:lastModifiedBy>FIGHT THE DEMONS</cp:lastModifiedBy>
  <cp:revision>3</cp:revision>
  <cp:lastPrinted>2026-01-18T03:04:00Z</cp:lastPrinted>
  <dcterms:created xsi:type="dcterms:W3CDTF">2026-01-18T02:52:00Z</dcterms:created>
  <dcterms:modified xsi:type="dcterms:W3CDTF">2026-01-18T03:16:00Z</dcterms:modified>
</cp:coreProperties>
</file>