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Rule A1: Dynamic Bollinger Band Breakout with Volume Confirmation</w:t>
      </w:r>
    </w:p>
    <w:p>
      <w:pPr>
        <w:pStyle w:val="Heading1"/>
      </w:pPr>
      <w:r>
        <w:t>Summary</w:t>
      </w:r>
    </w:p>
    <w:p>
      <w:r>
        <w:t>This rule identifies trend continuation opportunities using a volatility-adaptive Bollinger Band breakout combined with volume confirmation. The rule is designed to detect strong directional moves that emerge from low-volatility consolidation periods (band squeezes) and are confirmed by institutional participation (volume spikes).</w:t>
      </w:r>
    </w:p>
    <w:p/>
    <w:p>
      <w:r>
        <w:t>Strategy Type: Trend-Following</w:t>
      </w:r>
    </w:p>
    <w:p>
      <w:r>
        <w:t>Timeframe: 1-minute, 5-minute, 15-minute (Multi-Timeframe Consensus)</w:t>
      </w:r>
    </w:p>
    <w:p>
      <w:r>
        <w:t>Application: Long directional calls, call spreads, or iron condor exit signals</w:t>
      </w:r>
    </w:p>
    <w:p>
      <w:pPr>
        <w:pStyle w:val="Heading1"/>
      </w:pPr>
      <w:r>
        <w:t>1. Mathematical Derivations</w:t>
      </w:r>
    </w:p>
    <w:p>
      <w:pPr>
        <w:pStyle w:val="Heading2"/>
      </w:pPr>
      <w:r>
        <w:t>1.1 Dynamic Bollinger Bands</w:t>
      </w:r>
    </w:p>
    <w:p>
      <w:r>
        <w:t>Traditional Bollinger Bands use a fixed lookback period and standard deviation multiplier. Dynamic Bollinger Bands adapt to local volatility energy using geometric and topological features.</w:t>
      </w:r>
    </w:p>
    <w:p/>
    <w:p>
      <w:r>
        <w:t>Definition:</w:t>
      </w:r>
    </w:p>
    <w:p>
      <w:pPr>
        <w:jc w:val="center"/>
      </w:pPr>
      <w:r>
        <w:rPr>
          <w:i/>
        </w:rPr>
        <w:t>Upper Band(t) = SMA_n(t) + k(t) · σ_n(t)</w:t>
      </w:r>
    </w:p>
    <w:p>
      <w:pPr>
        <w:jc w:val="center"/>
      </w:pPr>
      <w:r>
        <w:rPr>
          <w:i/>
        </w:rPr>
        <w:t>Middle Band(t) = SMA_n(t)</w:t>
      </w:r>
    </w:p>
    <w:p>
      <w:pPr>
        <w:jc w:val="center"/>
      </w:pPr>
      <w:r>
        <w:rPr>
          <w:i/>
        </w:rPr>
        <w:t>Lower Band(t) = SMA_n(t) − k(t) · σ_n(t)</w:t>
      </w:r>
    </w:p>
    <w:p/>
    <w:p>
      <w:r>
        <w:t>Where:</w:t>
      </w:r>
    </w:p>
    <w:p>
      <w:r>
        <w:t>• SMA_n(t) = Simple Moving Average over n bars at time t</w:t>
      </w:r>
    </w:p>
    <w:p>
      <w:r>
        <w:t>• σ_n(t) = Standard deviation over n bars at time t</w:t>
      </w:r>
    </w:p>
    <w:p>
      <w:r>
        <w:t>• k(t) = Dynamic multiplier based on volatility regime</w:t>
      </w:r>
    </w:p>
    <w:p/>
    <w:p>
      <w:r>
        <w:t>The dynamic multiplier k(t) is computed as:</w:t>
      </w:r>
    </w:p>
    <w:p>
      <w:pPr>
        <w:jc w:val="center"/>
      </w:pPr>
      <w:r>
        <w:rPr>
          <w:i/>
        </w:rPr>
        <w:t>k(t) = k_0 · (1 + α · VolatilityEnergy(t))</w:t>
      </w:r>
    </w:p>
    <w:p/>
    <w:p>
      <w:r>
        <w:t>Where k_0 is a base multiplier (typically 2.0) and α is a sensitivity parameter (typically 0.1-0.3).</w:t>
      </w:r>
    </w:p>
    <w:p>
      <w:pPr>
        <w:pStyle w:val="Heading2"/>
      </w:pPr>
      <w:r>
        <w:t>1.2 Bollinger Band Bandwidth (Squeeze Detection)</w:t>
      </w:r>
    </w:p>
    <w:p>
      <w:r>
        <w:t>The bandwidth measures the width of the Bollinger Bands relative to the middle band:</w:t>
      </w:r>
    </w:p>
    <w:p>
      <w:pPr>
        <w:jc w:val="center"/>
      </w:pPr>
      <w:r>
        <w:rPr>
          <w:i/>
        </w:rPr>
        <w:t>Bandwidth(t) = (Upper Band(t) − Lower Band(t)) / Middle Band(t)</w:t>
      </w:r>
    </w:p>
    <w:p>
      <w:pPr>
        <w:jc w:val="center"/>
      </w:pPr>
      <w:r>
        <w:rPr>
          <w:i/>
        </w:rPr>
        <w:t>Bandwidth(t) = (2 · k(t) · σ_n(t)) / SMA_n(t)</w:t>
      </w:r>
    </w:p>
    <w:p/>
    <w:p>
      <w:r>
        <w:t>A squeeze is detected when:</w:t>
      </w:r>
    </w:p>
    <w:p>
      <w:pPr>
        <w:jc w:val="center"/>
      </w:pPr>
      <w:r>
        <w:rPr>
          <w:i/>
        </w:rPr>
        <w:t>Bandwidth(t) &lt; Percentile_10(Bandwidth[t−w:t])</w:t>
      </w:r>
    </w:p>
    <w:p/>
    <w:p>
      <w:r>
        <w:t>Where w is a rolling window (typically 100-500 bars).</w:t>
      </w:r>
    </w:p>
    <w:p>
      <w:pPr>
        <w:pStyle w:val="Heading2"/>
      </w:pPr>
      <w:r>
        <w:t>1.3 Volume Confirmation</w:t>
      </w:r>
    </w:p>
    <w:p>
      <w:r>
        <w:t>Volume ratio confirms institutional participation:</w:t>
      </w:r>
    </w:p>
    <w:p>
      <w:pPr>
        <w:jc w:val="center"/>
      </w:pPr>
      <w:r>
        <w:rPr>
          <w:i/>
        </w:rPr>
        <w:t>VolumeRatio(t) = Volume(t) / SMA_20(Volume[t−20:t])</w:t>
      </w:r>
    </w:p>
    <w:p/>
    <w:p>
      <w:r>
        <w:t>A volume spike is confirmed when:</w:t>
      </w:r>
    </w:p>
    <w:p>
      <w:pPr>
        <w:jc w:val="center"/>
      </w:pPr>
      <w:r>
        <w:rPr>
          <w:i/>
        </w:rPr>
        <w:t>VolumeRatio(t) &gt; 1.5</w:t>
      </w:r>
    </w:p>
    <w:p>
      <w:pPr>
        <w:pStyle w:val="Heading2"/>
      </w:pPr>
      <w:r>
        <w:t>1.4 ADX (Average Directional Index)</w:t>
      </w:r>
    </w:p>
    <w:p>
      <w:r>
        <w:t>The volatility-normalized ADX measures trend strength:</w:t>
      </w:r>
    </w:p>
    <w:p>
      <w:pPr>
        <w:jc w:val="center"/>
      </w:pPr>
      <w:r>
        <w:rPr>
          <w:i/>
        </w:rPr>
        <w:t>ADX_normalized(t) = ADX(t) / (1 + β · VolatilityEnergy(t))</w:t>
      </w:r>
    </w:p>
    <w:p/>
    <w:p>
      <w:r>
        <w:t>Where β is a normalization coefficient (typically 0.1-0.2).</w:t>
      </w:r>
    </w:p>
    <w:p/>
    <w:p>
      <w:r>
        <w:t>Trend strength is confirmed when:</w:t>
      </w:r>
    </w:p>
    <w:p>
      <w:pPr>
        <w:jc w:val="center"/>
      </w:pPr>
      <w:r>
        <w:rPr>
          <w:i/>
        </w:rPr>
        <w:t>ADX_normalized(t) &gt; 25 AND ADX_normalized(t) &gt; ADX_normalized(t−1)</w:t>
      </w:r>
    </w:p>
    <w:p>
      <w:pPr>
        <w:pStyle w:val="Heading1"/>
      </w:pPr>
      <w:r>
        <w:t>2. Logic Conditions</w:t>
      </w:r>
    </w:p>
    <w:p>
      <w:r>
        <w:t>The rule triggers when ALL of the following conditions are satisfied:</w:t>
      </w:r>
    </w:p>
    <w:p/>
    <w:p>
      <w:r>
        <w:t>1. Squeeze Condition: Bandwidth(t) &lt; Percentile_10(Bandwidth[t−w:t])</w:t>
      </w:r>
    </w:p>
    <w:p>
      <w:r>
        <w:t>2. Breakout Condition: Close(t) &gt; Upper Band(t)</w:t>
      </w:r>
    </w:p>
    <w:p>
      <w:r>
        <w:t>3. Volume Confirmation: VolumeRatio(t) &gt; 1.5</w:t>
      </w:r>
    </w:p>
    <w:p>
      <w:r>
        <w:t>4. Trend Strength: ADX_normalized(t) &gt; 25 AND ADX_normalized(t) &gt; ADX_normalized(t−1)</w:t>
      </w:r>
    </w:p>
    <w:p>
      <w:pPr>
        <w:pStyle w:val="Heading1"/>
      </w:pPr>
      <w:r>
        <w:t>3. Entry and Exit Triggers</w:t>
      </w:r>
    </w:p>
    <w:p>
      <w:pPr>
        <w:pStyle w:val="Heading2"/>
      </w:pPr>
      <w:r>
        <w:t>3.1 Entry Trigger</w:t>
      </w:r>
    </w:p>
    <w:p>
      <w:r>
        <w:t>Enter LONG (call spread or directional call) at the close of the bar where:</w:t>
      </w:r>
    </w:p>
    <w:p>
      <w:r>
        <w:t>• All four logic conditions are satisfied</w:t>
      </w:r>
    </w:p>
    <w:p>
      <w:r>
        <w:t>• Optional: Multi-timeframe consensus confirms bullish alignment across 1m, 5m, 15m</w:t>
      </w:r>
    </w:p>
    <w:p>
      <w:pPr>
        <w:pStyle w:val="Heading2"/>
      </w:pPr>
      <w:r>
        <w:t>3.2 Exit Trigger</w:t>
      </w:r>
    </w:p>
    <w:p>
      <w:r>
        <w:t>Exit the position when ANY of the following occurs:</w:t>
      </w:r>
    </w:p>
    <w:p>
      <w:r>
        <w:t>• Price closes below Middle Band(t)</w:t>
      </w:r>
    </w:p>
    <w:p>
      <w:r>
        <w:t>• VolumeRatio(t) &lt; 1.0 (volume drops below average)</w:t>
      </w:r>
    </w:p>
    <w:p>
      <w:r>
        <w:t>• ADX_normalized(t) begins to decline for 2 consecutive bars</w:t>
      </w:r>
    </w:p>
    <w:p>
      <w:r>
        <w:t>• Profit target or stop-loss is reached (as defined by risk management rules)</w:t>
      </w:r>
    </w:p>
    <w:p>
      <w:pPr>
        <w:pStyle w:val="Heading1"/>
      </w:pPr>
      <w:r>
        <w:t>4. Parameter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Default Value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n (BB Period)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Lookback period for Bollinger Bands</w:t>
            </w:r>
          </w:p>
        </w:tc>
      </w:tr>
      <w:tr>
        <w:tc>
          <w:tcPr>
            <w:tcW w:type="dxa" w:w="2880"/>
          </w:tcPr>
          <w:p>
            <w:r>
              <w:t>k_0 (Base Multiplier)</w:t>
            </w:r>
          </w:p>
        </w:tc>
        <w:tc>
          <w:tcPr>
            <w:tcW w:type="dxa" w:w="2880"/>
          </w:tcPr>
          <w:p>
            <w:r>
              <w:t>2.0</w:t>
            </w:r>
          </w:p>
        </w:tc>
        <w:tc>
          <w:tcPr>
            <w:tcW w:type="dxa" w:w="2880"/>
          </w:tcPr>
          <w:p>
            <w:r>
              <w:t>Base standard deviation multiplier</w:t>
            </w:r>
          </w:p>
        </w:tc>
      </w:tr>
      <w:tr>
        <w:tc>
          <w:tcPr>
            <w:tcW w:type="dxa" w:w="2880"/>
          </w:tcPr>
          <w:p>
            <w:r>
              <w:t>w (Squeeze Window)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Rolling window for bandwidth percentile</w:t>
            </w:r>
          </w:p>
        </w:tc>
      </w:tr>
      <w:tr>
        <w:tc>
          <w:tcPr>
            <w:tcW w:type="dxa" w:w="2880"/>
          </w:tcPr>
          <w:p>
            <w:r>
              <w:t>Volume Threshold</w:t>
            </w:r>
          </w:p>
        </w:tc>
        <w:tc>
          <w:tcPr>
            <w:tcW w:type="dxa" w:w="2880"/>
          </w:tcPr>
          <w:p>
            <w:r>
              <w:t>1.5</w:t>
            </w:r>
          </w:p>
        </w:tc>
        <w:tc>
          <w:tcPr>
            <w:tcW w:type="dxa" w:w="2880"/>
          </w:tcPr>
          <w:p>
            <w:r>
              <w:t>Minimum volume ratio for confirmation</w:t>
            </w:r>
          </w:p>
        </w:tc>
      </w:tr>
      <w:tr>
        <w:tc>
          <w:tcPr>
            <w:tcW w:type="dxa" w:w="2880"/>
          </w:tcPr>
          <w:p>
            <w:r>
              <w:t>ADX Threshold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Minimum ADX for trend strength</w:t>
            </w:r>
          </w:p>
        </w:tc>
      </w:tr>
      <w:tr>
        <w:tc>
          <w:tcPr>
            <w:tcW w:type="dxa" w:w="2880"/>
          </w:tcPr>
          <w:p>
            <w:r>
              <w:t>α (Volatility Sensitivity)</w:t>
            </w:r>
          </w:p>
        </w:tc>
        <w:tc>
          <w:tcPr>
            <w:tcW w:type="dxa" w:w="2880"/>
          </w:tcPr>
          <w:p>
            <w:r>
              <w:t>0.2</w:t>
            </w:r>
          </w:p>
        </w:tc>
        <w:tc>
          <w:tcPr>
            <w:tcW w:type="dxa" w:w="2880"/>
          </w:tcPr>
          <w:p>
            <w:r>
              <w:t>Dynamic multiplier sensitivity</w:t>
            </w:r>
          </w:p>
        </w:tc>
      </w:tr>
    </w:tbl>
    <w:p>
      <w:pPr>
        <w:pStyle w:val="Heading1"/>
      </w:pPr>
      <w:r>
        <w:t>5. Integration Notes</w:t>
      </w:r>
    </w:p>
    <w:p>
      <w:r>
        <w:t>• All thresholds are volatility-adaptive and regime-aware</w:t>
      </w:r>
    </w:p>
    <w:p>
      <w:r>
        <w:t>• The rule can be encoded as a feature vector for the CondorBrain Mamba-2 model</w:t>
      </w:r>
    </w:p>
    <w:p>
      <w:r>
        <w:t>• Compatible with fuzzy logic sizing engine (outputs confidence score 0-1)</w:t>
      </w:r>
    </w:p>
    <w:p>
      <w:r>
        <w:t>• Dynamic BB and ADX computations use geometric and topological features for regime invariance</w:t>
      </w:r>
    </w:p>
    <w:p>
      <w:r>
        <w:t>• Suitable for both rule-based execution and neural network training targets</w:t>
      </w:r>
    </w:p>
    <w:p>
      <w:pPr>
        <w:pStyle w:val="Heading1"/>
      </w:pPr>
      <w:r>
        <w:t>6. References</w:t>
      </w:r>
    </w:p>
    <w:p>
      <w:r>
        <w:t>• Dynamic Market Indicators - Math and Pythonic integration for CondorIntelligence</w:t>
      </w:r>
    </w:p>
    <w:p>
      <w:r>
        <w:t>• Scientific Specification: CondorBrain &amp; Mamba Architecture (scientific_spec.md)</w:t>
      </w:r>
    </w:p>
    <w:p>
      <w:r>
        <w:t>• Institutional-Grade Trading Rules for SPY Options Model Integration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