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Rule A3: ADX-RSI Trend Confirmation</w:t>
      </w:r>
    </w:p>
    <w:p>
      <w:pPr>
        <w:pStyle w:val="Heading1"/>
      </w:pPr>
      <w:r>
        <w:t>Summary</w:t>
      </w:r>
    </w:p>
    <w:p>
      <w:r>
        <w:t>This rule confirms trend strength using the Average Directional Index (ADX) and times entries using the Relative Strength Index (RSI). It captures strong momentum moves in the direction of the prevailing trend, entering when RSI reaches extreme levels that confirm momentum rather than exhaustion.</w:t>
      </w:r>
    </w:p>
    <w:p/>
    <w:p>
      <w:r>
        <w:t>Strategy Type: Trend-Following / Momentum</w:t>
      </w:r>
    </w:p>
    <w:p>
      <w:r>
        <w:t>Timeframe: 1-minute, 5-minute, 15-minute</w:t>
      </w:r>
    </w:p>
    <w:p>
      <w:r>
        <w:t>Application: Directional calls/puts, momentum spreads</w:t>
      </w:r>
    </w:p>
    <w:p>
      <w:pPr>
        <w:pStyle w:val="Heading1"/>
      </w:pPr>
      <w:r>
        <w:t>1. Mathematical Derivations</w:t>
      </w:r>
    </w:p>
    <w:p>
      <w:pPr>
        <w:pStyle w:val="Heading2"/>
      </w:pPr>
      <w:r>
        <w:t>1.1 Volatility-Normalized ADX</w:t>
      </w:r>
    </w:p>
    <w:p>
      <w:r>
        <w:t>The ADX measures trend strength on a 0-100 scale. Standard ADX computation:</w:t>
      </w:r>
    </w:p>
    <w:p>
      <w:pPr>
        <w:jc w:val="center"/>
      </w:pPr>
      <w:r>
        <w:rPr>
          <w:i/>
        </w:rPr>
        <w:t>True Range (TR) = max(H(t)−L(t), |H(t)−C(t−1)|, |L(t)−C(t−1)|)</w:t>
      </w:r>
    </w:p>
    <w:p>
      <w:pPr>
        <w:jc w:val="center"/>
      </w:pPr>
      <w:r>
        <w:rPr>
          <w:i/>
        </w:rPr>
        <w:t>+DM = max(H(t)−H(t−1), 0) if H(t)−H(t−1) &gt; L(t−1)−L(t), else 0</w:t>
      </w:r>
    </w:p>
    <w:p>
      <w:pPr>
        <w:jc w:val="center"/>
      </w:pPr>
      <w:r>
        <w:rPr>
          <w:i/>
        </w:rPr>
        <w:t>−DM = max(L(t−1)−L(t), 0) if L(t−1)−L(t) &gt; H(t)−H(t−1), else 0</w:t>
      </w:r>
    </w:p>
    <w:p>
      <w:pPr>
        <w:jc w:val="center"/>
      </w:pPr>
      <w:r>
        <w:rPr>
          <w:i/>
        </w:rPr>
        <w:t>+DI = 100 × Smooth_14(+DM) / Smooth_14(TR)</w:t>
      </w:r>
    </w:p>
    <w:p>
      <w:pPr>
        <w:jc w:val="center"/>
      </w:pPr>
      <w:r>
        <w:rPr>
          <w:i/>
        </w:rPr>
        <w:t>−DI = 100 × Smooth_14(−DM) / Smooth_14(TR)</w:t>
      </w:r>
    </w:p>
    <w:p>
      <w:pPr>
        <w:jc w:val="center"/>
      </w:pPr>
      <w:r>
        <w:rPr>
          <w:i/>
        </w:rPr>
        <w:t>DX = 100 × |+DI − −DI| / |+DI + −DI|</w:t>
      </w:r>
    </w:p>
    <w:p>
      <w:pPr>
        <w:jc w:val="center"/>
      </w:pPr>
      <w:r>
        <w:rPr>
          <w:i/>
        </w:rPr>
        <w:t>ADX = Smooth_14(DX)</w:t>
      </w:r>
    </w:p>
    <w:p/>
    <w:p>
      <w:r>
        <w:t>Volatility normalization:</w:t>
      </w:r>
    </w:p>
    <w:p>
      <w:pPr>
        <w:jc w:val="center"/>
      </w:pPr>
      <w:r>
        <w:rPr>
          <w:i/>
        </w:rPr>
        <w:t>ADX_normalized(t) = ADX(t) / (1 + β · VolatilityEnergy(t))</w:t>
      </w:r>
    </w:p>
    <w:p>
      <w:pPr>
        <w:pStyle w:val="Heading2"/>
      </w:pPr>
      <w:r>
        <w:t>1.2 Dynamic RSI</w:t>
      </w:r>
    </w:p>
    <w:p>
      <w:r>
        <w:t>Dynamic RSI is weighted by volatility energy and geometric curvature:</w:t>
      </w:r>
    </w:p>
    <w:p>
      <w:pPr>
        <w:jc w:val="center"/>
      </w:pPr>
      <w:r>
        <w:rPr>
          <w:i/>
        </w:rPr>
        <w:t>RS(t) = Average_Gain_14(t) / Average_Loss_14(t)</w:t>
      </w:r>
    </w:p>
    <w:p>
      <w:pPr>
        <w:jc w:val="center"/>
      </w:pPr>
      <w:r>
        <w:rPr>
          <w:i/>
        </w:rPr>
        <w:t>RSI(t) = 100 − (100 / (1 + RS(t)))</w:t>
      </w:r>
    </w:p>
    <w:p/>
    <w:p>
      <w:r>
        <w:t>The dynamic version adjusts thresholds based on regime:</w:t>
      </w:r>
    </w:p>
    <w:p>
      <w:pPr>
        <w:jc w:val="center"/>
      </w:pPr>
      <w:r>
        <w:rPr>
          <w:i/>
        </w:rPr>
        <w:t>RSI_dynamic(t) = RSI(t) × (1 + γ · CurvatureProxy(t))</w:t>
      </w:r>
    </w:p>
    <w:p>
      <w:pPr>
        <w:pStyle w:val="Heading2"/>
      </w:pPr>
      <w:r>
        <w:t>1.3 Trend Direction and RSI Alignment</w:t>
      </w:r>
    </w:p>
    <w:p>
      <w:r>
        <w:t>For momentum LONG in an uptrend:</w:t>
      </w:r>
    </w:p>
    <w:p>
      <w:pPr>
        <w:jc w:val="center"/>
      </w:pPr>
      <w:r>
        <w:rPr>
          <w:i/>
        </w:rPr>
        <w:t>+DI(t) &gt; −DI(t) AND RSI_dynamic(t) &gt; 70</w:t>
      </w:r>
    </w:p>
    <w:p/>
    <w:p>
      <w:r>
        <w:t>For momentum SHORT in a downtrend:</w:t>
      </w:r>
    </w:p>
    <w:p>
      <w:pPr>
        <w:jc w:val="center"/>
      </w:pPr>
      <w:r>
        <w:rPr>
          <w:i/>
        </w:rPr>
        <w:t>−DI(t) &gt; +DI(t) AND RSI_dynamic(t) &lt; 30</w:t>
      </w:r>
    </w:p>
    <w:p>
      <w:pPr>
        <w:pStyle w:val="Heading1"/>
      </w:pPr>
      <w:r>
        <w:t>2. Logic Conditions</w:t>
      </w:r>
    </w:p>
    <w:p>
      <w:r>
        <w:t>For LONG entry (momentum uptrend):</w:t>
      </w:r>
    </w:p>
    <w:p>
      <w:r>
        <w:t>1. ADX_normalized(t) &gt; 25</w:t>
      </w:r>
    </w:p>
    <w:p>
      <w:r>
        <w:t>2. ADX_normalized(t) &gt; ADX_normalized(t−1) (rising ADX)</w:t>
      </w:r>
    </w:p>
    <w:p>
      <w:r>
        <w:t>3. +DI(t) &gt; −DI(t)</w:t>
      </w:r>
    </w:p>
    <w:p>
      <w:r>
        <w:t>4. RSI_dynamic(t) &gt; 70</w:t>
      </w:r>
    </w:p>
    <w:p/>
    <w:p>
      <w:r>
        <w:t>For SHORT entry (momentum downtrend):</w:t>
      </w:r>
    </w:p>
    <w:p>
      <w:r>
        <w:t>1. ADX_normalized(t) &gt; 25</w:t>
      </w:r>
    </w:p>
    <w:p>
      <w:r>
        <w:t>2. ADX_normalized(t) &gt; ADX_normalized(t−1)</w:t>
      </w:r>
    </w:p>
    <w:p>
      <w:r>
        <w:t>3. −DI(t) &gt; +DI(t)</w:t>
      </w:r>
    </w:p>
    <w:p>
      <w:r>
        <w:t>4. RSI_dynamic(t) &lt; 30</w:t>
      </w:r>
    </w:p>
    <w:p>
      <w:pPr>
        <w:pStyle w:val="Heading1"/>
      </w:pPr>
      <w:r>
        <w:t>3. Entry and Exit Triggers</w:t>
      </w:r>
    </w:p>
    <w:p>
      <w:pPr>
        <w:pStyle w:val="Heading2"/>
      </w:pPr>
      <w:r>
        <w:t>3.1 Entry Trigger</w:t>
      </w:r>
    </w:p>
    <w:p>
      <w:r>
        <w:t>• Enter at bar close when all four logic conditions are satisfied</w:t>
      </w:r>
    </w:p>
    <w:p>
      <w:r>
        <w:t>• Optional: Confirm with multi-timeframe consensus</w:t>
      </w:r>
    </w:p>
    <w:p>
      <w:pPr>
        <w:pStyle w:val="Heading2"/>
      </w:pPr>
      <w:r>
        <w:t>3.2 Exit Trigger</w:t>
      </w:r>
    </w:p>
    <w:p>
      <w:r>
        <w:t>Exit when:</w:t>
      </w:r>
    </w:p>
    <w:p>
      <w:r>
        <w:t>• ADX peaks and declines for 2 consecutive bars</w:t>
      </w:r>
    </w:p>
    <w:p>
      <w:r>
        <w:t>• RSI shows divergence (price makes new high/low but RSI doesn't)</w:t>
      </w:r>
    </w:p>
    <w:p>
      <w:r>
        <w:t>• RSI exits extreme zone (crosses back above 30 for short, below 70 for long)</w:t>
      </w:r>
    </w:p>
    <w:p>
      <w:r>
        <w:t>• +DI and −DI crossover (trend reversal)</w:t>
      </w:r>
    </w:p>
    <w:p>
      <w:pPr>
        <w:pStyle w:val="Heading1"/>
      </w:pPr>
      <w:r>
        <w:t>4. Parameter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Default Value</w:t>
            </w:r>
          </w:p>
        </w:tc>
        <w:tc>
          <w:tcPr>
            <w:tcW w:type="dxa" w:w="2880"/>
          </w:tcPr>
          <w:p>
            <w:r>
              <w:t>Description</w:t>
            </w:r>
          </w:p>
        </w:tc>
      </w:tr>
      <w:tr>
        <w:tc>
          <w:tcPr>
            <w:tcW w:type="dxa" w:w="2880"/>
          </w:tcPr>
          <w:p>
            <w:r>
              <w:t>ADX Period</w:t>
            </w:r>
          </w:p>
        </w:tc>
        <w:tc>
          <w:tcPr>
            <w:tcW w:type="dxa" w:w="2880"/>
          </w:tcPr>
          <w:p>
            <w:r>
              <w:t>14</w:t>
            </w:r>
          </w:p>
        </w:tc>
        <w:tc>
          <w:tcPr>
            <w:tcW w:type="dxa" w:w="2880"/>
          </w:tcPr>
          <w:p>
            <w:r>
              <w:t>Smoothing period for ADX calculation</w:t>
            </w:r>
          </w:p>
        </w:tc>
      </w:tr>
      <w:tr>
        <w:tc>
          <w:tcPr>
            <w:tcW w:type="dxa" w:w="2880"/>
          </w:tcPr>
          <w:p>
            <w:r>
              <w:t>ADX Threshold</w:t>
            </w:r>
          </w:p>
        </w:tc>
        <w:tc>
          <w:tcPr>
            <w:tcW w:type="dxa" w:w="2880"/>
          </w:tcPr>
          <w:p>
            <w:r>
              <w:t>25</w:t>
            </w:r>
          </w:p>
        </w:tc>
        <w:tc>
          <w:tcPr>
            <w:tcW w:type="dxa" w:w="2880"/>
          </w:tcPr>
          <w:p>
            <w:r>
              <w:t>Minimum ADX for trend confirmation</w:t>
            </w:r>
          </w:p>
        </w:tc>
      </w:tr>
      <w:tr>
        <w:tc>
          <w:tcPr>
            <w:tcW w:type="dxa" w:w="2880"/>
          </w:tcPr>
          <w:p>
            <w:r>
              <w:t>RSI Period</w:t>
            </w:r>
          </w:p>
        </w:tc>
        <w:tc>
          <w:tcPr>
            <w:tcW w:type="dxa" w:w="2880"/>
          </w:tcPr>
          <w:p>
            <w:r>
              <w:t>14</w:t>
            </w:r>
          </w:p>
        </w:tc>
        <w:tc>
          <w:tcPr>
            <w:tcW w:type="dxa" w:w="2880"/>
          </w:tcPr>
          <w:p>
            <w:r>
              <w:t>Lookback period for RSI</w:t>
            </w:r>
          </w:p>
        </w:tc>
      </w:tr>
      <w:tr>
        <w:tc>
          <w:tcPr>
            <w:tcW w:type="dxa" w:w="2880"/>
          </w:tcPr>
          <w:p>
            <w:r>
              <w:t>RSI Overbought</w:t>
            </w:r>
          </w:p>
        </w:tc>
        <w:tc>
          <w:tcPr>
            <w:tcW w:type="dxa" w:w="2880"/>
          </w:tcPr>
          <w:p>
            <w:r>
              <w:t>70</w:t>
            </w:r>
          </w:p>
        </w:tc>
        <w:tc>
          <w:tcPr>
            <w:tcW w:type="dxa" w:w="2880"/>
          </w:tcPr>
          <w:p>
            <w:r>
              <w:t>Upper threshold for momentum long</w:t>
            </w:r>
          </w:p>
        </w:tc>
      </w:tr>
    </w:tbl>
    <w:p>
      <w:pPr>
        <w:pStyle w:val="Heading1"/>
      </w:pPr>
      <w:r>
        <w:t>5. Integration Notes</w:t>
      </w:r>
    </w:p>
    <w:p>
      <w:r>
        <w:t>• Dynamic RSI and ADX are volatility-normalized for regime invariance</w:t>
      </w:r>
    </w:p>
    <w:p>
      <w:r>
        <w:t>• Particularly effective in strong trend regimes</w:t>
      </w:r>
    </w:p>
    <w:p>
      <w:r>
        <w:t>• Can be combined with other momentum filters</w:t>
      </w:r>
    </w:p>
    <w:p>
      <w:r>
        <w:t>• Compatible with CondorBrain feature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