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C2: Persistent Homology Regime Shift</w:t>
      </w:r>
    </w:p>
    <w:p>
      <w:pPr>
        <w:pStyle w:val="Heading1"/>
      </w:pPr>
      <w:r>
        <w:t>Summary</w:t>
      </w:r>
    </w:p>
    <w:p>
      <w:r>
        <w:t>Uses topological regime signatures (persistent homology) to detect breakout or consolidation using Takens embedding and persistent diagram analysis.</w:t>
      </w:r>
    </w:p>
    <w:p/>
    <w:p>
      <w:r>
        <w:t>Strategy Type: Breakout / Topology-Based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Persistent Homology Signature</w:t>
      </w:r>
    </w:p>
    <w:p>
      <w:r>
        <w:t>β₁(t) = Betti number (cycle count in price topology)</w:t>
      </w:r>
    </w:p>
    <w:p/>
    <w:p>
      <w:pPr>
        <w:pStyle w:val="Heading2"/>
      </w:pPr>
      <w:r>
        <w:t>Regime Shift Detection</w:t>
      </w:r>
    </w:p>
    <w:p>
      <w:r>
        <w:t>Sharp drop in β₁(t) indicates cycle destruction (breakout)</w:t>
      </w:r>
    </w:p>
    <w:p/>
    <w:p>
      <w:pPr>
        <w:pStyle w:val="Heading1"/>
      </w:pPr>
      <w:r>
        <w:t>2. Logic Conditions</w:t>
      </w:r>
    </w:p>
    <w:p>
      <w:r>
        <w:t>1. Persistent homology signature β₁(t) drops sharply</w:t>
      </w:r>
    </w:p>
    <w:p>
      <w:r>
        <w:t>2. Dynamic consolidation score &lt; 0.3</w:t>
      </w:r>
    </w:p>
    <w:p>
      <w:r>
        <w:t>3. Enter in direction of breakout when signature confirms regime shift</w:t>
      </w:r>
    </w:p>
    <w:p>
      <w:pPr>
        <w:pStyle w:val="Heading1"/>
      </w:pPr>
      <w:r>
        <w:t>3. Integration Notes</w:t>
      </w:r>
    </w:p>
    <w:p>
      <w:r>
        <w:t>• Computed using Takens embedding and rolling window persistent diagrams</w:t>
      </w:r>
    </w:p>
    <w:p>
      <w:r>
        <w:t>• See tda_signature.py for implementation</w:t>
      </w:r>
    </w:p>
    <w:p>
      <w:r>
        <w:t>• Advanced technique for regime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