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D2: Volume Spike with Band Break</w:t>
      </w:r>
    </w:p>
    <w:p>
      <w:pPr>
        <w:pStyle w:val="Heading1"/>
      </w:pPr>
      <w:r>
        <w:t>Summary</w:t>
      </w:r>
    </w:p>
    <w:p>
      <w:r>
        <w:t>Uses volume surge to confirm momentum breakout beyond dynamic bands.</w:t>
      </w:r>
    </w:p>
    <w:p/>
    <w:p>
      <w:r>
        <w:t>Strategy Type: Momentum / Volume Confirmation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Volume Spike</w:t>
      </w:r>
    </w:p>
    <w:p>
      <w:r>
        <w:t>Volume(t) &gt; 1.5 × SMA_20(Volume)</w:t>
      </w:r>
    </w:p>
    <w:p/>
    <w:p>
      <w:pPr>
        <w:pStyle w:val="Heading2"/>
      </w:pPr>
      <w:r>
        <w:t>Band Break</w:t>
      </w:r>
    </w:p>
    <w:p>
      <w:r>
        <w:t>Close(t) &gt; Upper Band(t) OR Close(t) &lt; Lower Band(t)</w:t>
      </w:r>
    </w:p>
    <w:p/>
    <w:p>
      <w:pPr>
        <w:pStyle w:val="Heading1"/>
      </w:pPr>
      <w:r>
        <w:t>2. Logic Conditions</w:t>
      </w:r>
    </w:p>
    <w:p>
      <w:r>
        <w:t>1. Price breaks upper/lower dynamic band</w:t>
      </w:r>
    </w:p>
    <w:p>
      <w:r>
        <w:t>2. Volume &gt; 1.5x rolling average</w:t>
      </w:r>
    </w:p>
    <w:p>
      <w:r>
        <w:t>3. Enter in direction of breakout with volume confirmation</w:t>
      </w:r>
    </w:p>
    <w:p>
      <w:r>
        <w:t>4. Exit on volume drop or price reversal</w:t>
      </w:r>
    </w:p>
    <w:p>
      <w:pPr>
        <w:pStyle w:val="Heading1"/>
      </w:pPr>
      <w:r>
        <w:t>3. Integration Notes</w:t>
      </w:r>
    </w:p>
    <w:p>
      <w:r>
        <w:t>• Simple but effective momentum confirmation</w:t>
      </w:r>
    </w:p>
    <w:p>
      <w:r>
        <w:t>• Volume validates institutional participation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