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E1: Spread vs. High-Low Average Constraint</w:t>
      </w:r>
    </w:p>
    <w:p>
      <w:pPr>
        <w:pStyle w:val="Heading1"/>
      </w:pPr>
      <w:r>
        <w:t>Summary</w:t>
      </w:r>
    </w:p>
    <w:p>
      <w:r>
        <w:t>This rule manages entries and exits for multi-leg options spreads based on spread width relative to the average high-low range of the underlying. It prevents premature exits or poor entries during volatility spikes by comparing bid-ask spread costs to realized price movement. This is a critical institutional execution filter that ensures trades are only executed when liquidity is favorable relative to market microstructure.</w:t>
      </w:r>
    </w:p>
    <w:p/>
    <w:p>
      <w:r>
        <w:t>Strategy Type: Volatility-Based / Execution Quality Control</w:t>
      </w:r>
    </w:p>
    <w:p>
      <w:r>
        <w:t>Timeframe: 1-minute bars (underlying SPY)</w:t>
      </w:r>
    </w:p>
    <w:p>
      <w:r>
        <w:t>Application: Iron condors, credit spreads, all multi-leg options structures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Spread Width Computation</w:t>
      </w:r>
    </w:p>
    <w:p>
      <w:r>
        <w:t>For a single option leg:</w:t>
      </w:r>
    </w:p>
    <w:p>
      <w:pPr>
        <w:jc w:val="center"/>
      </w:pPr>
      <w:r>
        <w:rPr>
          <w:i/>
        </w:rPr>
        <w:t>Spread(t) = Ask(t) − Bid(t)</w:t>
      </w:r>
    </w:p>
    <w:p/>
    <w:p>
      <w:r>
        <w:t>For a multi-leg structure (e.g., iron condor with 4 legs):</w:t>
      </w:r>
    </w:p>
    <w:p>
      <w:pPr>
        <w:jc w:val="center"/>
      </w:pPr>
      <w:r>
        <w:rPr>
          <w:i/>
        </w:rPr>
        <w:t>TotalSpread(t) = Σᵢ₌₁⁴ |Spreadᵢ(t)|</w:t>
      </w:r>
    </w:p>
    <w:p/>
    <w:p>
      <w:r>
        <w:t>Alternatively, use the mid-price spread cost:</w:t>
      </w:r>
    </w:p>
    <w:p>
      <w:pPr>
        <w:jc w:val="center"/>
      </w:pPr>
      <w:r>
        <w:rPr>
          <w:i/>
        </w:rPr>
        <w:t>SpreadCost(t) = |NetCredit_mid(t) − NetCredit_market(t)|</w:t>
      </w:r>
    </w:p>
    <w:p>
      <w:pPr>
        <w:pStyle w:val="Heading2"/>
      </w:pPr>
      <w:r>
        <w:t>1.2 Average High-Low Range</w:t>
      </w:r>
    </w:p>
    <w:p>
      <w:r>
        <w:t>Compute the realized range of SPY underlying over n bars:</w:t>
      </w:r>
    </w:p>
    <w:p>
      <w:pPr>
        <w:jc w:val="center"/>
      </w:pPr>
      <w:r>
        <w:rPr>
          <w:i/>
        </w:rPr>
        <w:t>AvgRange(n, t) = (1/n) · Σᵢ₌₀ⁿ⁻¹ (High(t−i) − Low(t−i))</w:t>
      </w:r>
    </w:p>
    <w:p/>
    <w:p>
      <w:r>
        <w:t>This represents the typical intraday volatility and provides a benchmark for execution friction.</w:t>
      </w:r>
    </w:p>
    <w:p>
      <w:pPr>
        <w:pStyle w:val="Heading2"/>
      </w:pPr>
      <w:r>
        <w:t>1.3 Execution Friction Ratio</w:t>
      </w:r>
    </w:p>
    <w:p>
      <w:r>
        <w:t>Define a dimensionless friction ratio:</w:t>
      </w:r>
    </w:p>
    <w:p>
      <w:pPr>
        <w:jc w:val="center"/>
      </w:pPr>
      <w:r>
        <w:rPr>
          <w:i/>
        </w:rPr>
        <w:t>F(t) = Spread(t) / AvgRange(n, t)</w:t>
      </w:r>
    </w:p>
    <w:p/>
    <w:p>
      <w:r>
        <w:t>Interpretation:</w:t>
      </w:r>
    </w:p>
    <w:p>
      <w:r>
        <w:t>• F &lt; 1: Spread cost is reasonable relative to price movement (ALLOW trade)</w:t>
      </w:r>
    </w:p>
    <w:p>
      <w:r>
        <w:t>• F ≥ 1: Spread cost is excessive relative to price movement (BLOCK trade)</w:t>
      </w:r>
    </w:p>
    <w:p>
      <w:pPr>
        <w:pStyle w:val="Heading2"/>
      </w:pPr>
      <w:r>
        <w:t>1.4 Dynamic Threshold with Regime Adjustment</w:t>
      </w:r>
    </w:p>
    <w:p>
      <w:r>
        <w:t>The threshold can be made dynamic based on volatility regime:</w:t>
      </w:r>
    </w:p>
    <w:p>
      <w:pPr>
        <w:jc w:val="center"/>
      </w:pPr>
      <w:r>
        <w:rPr>
          <w:i/>
        </w:rPr>
        <w:t>θ(t) = θ₀ + a·z(ATRₙ(t)) + b·z(VolRatio(t)) − c·z(BW(t)) − d·Event(t)</w:t>
      </w:r>
    </w:p>
    <w:p/>
    <w:p>
      <w:r>
        <w:t>Where:</w:t>
      </w:r>
    </w:p>
    <w:p>
      <w:r>
        <w:t>• θ₀ = Base threshold (typically 1.0)</w:t>
      </w:r>
    </w:p>
    <w:p>
      <w:r>
        <w:t>• ATRₙ(t) = Normalized ATR (ATR / Price)</w:t>
      </w:r>
    </w:p>
    <w:p>
      <w:r>
        <w:t>• VolRatio(t) = Volume / SMA(Volume)</w:t>
      </w:r>
    </w:p>
    <w:p>
      <w:r>
        <w:t>• BW(t) = Bollinger Band width (normalized)</w:t>
      </w:r>
    </w:p>
    <w:p>
      <w:r>
        <w:t>• Event(t) = Binary flag for macro event window (FOMC, CPI, etc.)</w:t>
      </w:r>
    </w:p>
    <w:p>
      <w:r>
        <w:t>• a, b, c, d = Learned or fixed coefficients</w:t>
      </w:r>
    </w:p>
    <w:p/>
    <w:p>
      <w:r>
        <w:t>Default: θ₀=1.0, a=0.1, b=0.1, c=0.15, d=0.2</w:t>
      </w:r>
    </w:p>
    <w:p/>
    <w:p>
      <w:r>
        <w:t>Clamped to range:</w:t>
      </w:r>
    </w:p>
    <w:p>
      <w:pPr>
        <w:jc w:val="center"/>
      </w:pPr>
      <w:r>
        <w:rPr>
          <w:i/>
        </w:rPr>
        <w:t>θ(t) = clamp(θ(t), θ_min=0.5, θ_max=1.5)</w:t>
      </w:r>
    </w:p>
    <w:p>
      <w:pPr>
        <w:pStyle w:val="Heading1"/>
      </w:pPr>
      <w:r>
        <w:t>2. Logic Conditions</w:t>
      </w:r>
    </w:p>
    <w:p>
      <w:pPr>
        <w:pStyle w:val="Heading2"/>
      </w:pPr>
      <w:r>
        <w:t>2.1 Base Execution Gate</w:t>
      </w:r>
    </w:p>
    <w:p>
      <w:r>
        <w:t>ALLOW entry/exit if:</w:t>
      </w:r>
    </w:p>
    <w:p>
      <w:pPr>
        <w:jc w:val="center"/>
      </w:pPr>
      <w:r>
        <w:rPr>
          <w:i/>
        </w:rPr>
        <w:t>F(t) &lt; θ(t)</w:t>
      </w:r>
    </w:p>
    <w:p/>
    <w:p>
      <w:r>
        <w:t>BLOCK entry/exit if:</w:t>
      </w:r>
    </w:p>
    <w:p>
      <w:pPr>
        <w:jc w:val="center"/>
      </w:pPr>
      <w:r>
        <w:rPr>
          <w:i/>
        </w:rPr>
        <w:t>F(t) ≥ θ(t)</w:t>
      </w:r>
    </w:p>
    <w:p>
      <w:pPr>
        <w:pStyle w:val="Heading2"/>
      </w:pPr>
      <w:r>
        <w:t>2.2 Risk Override (Gap Risk)</w:t>
      </w:r>
    </w:p>
    <w:p>
      <w:r>
        <w:t>If an exit signal is triggered AND gap risk is elevated, override the execution gate and force immediate exit:</w:t>
      </w:r>
    </w:p>
    <w:p/>
    <w:p>
      <w:r>
        <w:t>Define Gap Risk Score:</w:t>
      </w:r>
    </w:p>
    <w:p>
      <w:pPr>
        <w:jc w:val="center"/>
      </w:pPr>
      <w:r>
        <w:rPr>
          <w:i/>
        </w:rPr>
        <w:t>G(t) = w₁·EventFlag(t) + w₂·ATR_spike(t) + w₃·BW_expansion(t) + w₄·LateDay(t)</w:t>
      </w:r>
    </w:p>
    <w:p/>
    <w:p>
      <w:r>
        <w:t>Force exit if:</w:t>
      </w:r>
    </w:p>
    <w:p>
      <w:pPr>
        <w:jc w:val="center"/>
      </w:pPr>
      <w:r>
        <w:rPr>
          <w:i/>
        </w:rPr>
        <w:t>ExitSignal(t) = True AND G(t) ≥ G_crit</w:t>
      </w:r>
    </w:p>
    <w:p/>
    <w:p>
      <w:r>
        <w:t>Regardless of F(t). Default: G_crit = 0.7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• ALLOW entry only if F(t) &lt; θ(t)</w:t>
      </w:r>
    </w:p>
    <w:p>
      <w:r>
        <w:t>• If F(t) ≥ θ(t), wait for better liquidity conditions</w:t>
      </w:r>
    </w:p>
    <w:p>
      <w:r>
        <w:t>• Entry signal from strategy logic must also be present</w:t>
      </w:r>
    </w:p>
    <w:p>
      <w:pPr>
        <w:pStyle w:val="Heading2"/>
      </w:pPr>
      <w:r>
        <w:t>3.2 Exit Trigger</w:t>
      </w:r>
    </w:p>
    <w:p>
      <w:r>
        <w:t>Normal exit:</w:t>
      </w:r>
    </w:p>
    <w:p>
      <w:r>
        <w:t>• ALLOW exit if F(t) &lt; θ(t)</w:t>
      </w:r>
    </w:p>
    <w:p/>
    <w:p>
      <w:r>
        <w:t>Risk override exit:</w:t>
      </w:r>
    </w:p>
    <w:p>
      <w:r>
        <w:t>• Force exit at market if G(t) ≥ G_crit, regardless of spread cost</w:t>
      </w:r>
    </w:p>
    <w:p>
      <w:r>
        <w:t>• Use marketable limit order to minimize slippage</w:t>
      </w:r>
    </w:p>
    <w:p>
      <w:pPr>
        <w:pStyle w:val="Heading1"/>
      </w:pPr>
      <w:r>
        <w:t>4. Parameter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 (Avg Range Period)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Bars for average H-L range calculation</w:t>
            </w:r>
          </w:p>
        </w:tc>
      </w:tr>
      <w:tr>
        <w:tc>
          <w:tcPr>
            <w:tcW w:type="dxa" w:w="2880"/>
          </w:tcPr>
          <w:p>
            <w:r>
              <w:t>θ₀ (Base Threshold)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Base friction ratio threshold</w:t>
            </w:r>
          </w:p>
        </w:tc>
      </w:tr>
      <w:tr>
        <w:tc>
          <w:tcPr>
            <w:tcW w:type="dxa" w:w="2880"/>
          </w:tcPr>
          <w:p>
            <w:r>
              <w:t>θ_min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Minimum dynamic threshold</w:t>
            </w:r>
          </w:p>
        </w:tc>
      </w:tr>
      <w:tr>
        <w:tc>
          <w:tcPr>
            <w:tcW w:type="dxa" w:w="2880"/>
          </w:tcPr>
          <w:p>
            <w:r>
              <w:t>θ_max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Maximum dynamic threshold</w:t>
            </w:r>
          </w:p>
        </w:tc>
      </w:tr>
      <w:tr>
        <w:tc>
          <w:tcPr>
            <w:tcW w:type="dxa" w:w="2880"/>
          </w:tcPr>
          <w:p>
            <w:r>
              <w:t>G_crit (Gap Risk)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Critical gap risk score for override</w:t>
            </w:r>
          </w:p>
        </w:tc>
      </w:tr>
      <w:tr>
        <w:tc>
          <w:tcPr>
            <w:tcW w:type="dxa" w:w="2880"/>
          </w:tcPr>
          <w:p>
            <w:r>
              <w:t>a (ATR Weight)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ATR coefficient in dynamic threshold</w:t>
            </w:r>
          </w:p>
        </w:tc>
      </w:tr>
      <w:tr>
        <w:tc>
          <w:tcPr>
            <w:tcW w:type="dxa" w:w="2880"/>
          </w:tcPr>
          <w:p>
            <w:r>
              <w:t>d (Event Weight)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Event risk coefficient</w:t>
            </w:r>
          </w:p>
        </w:tc>
      </w:tr>
    </w:tbl>
    <w:p>
      <w:pPr>
        <w:pStyle w:val="Heading1"/>
      </w:pPr>
      <w:r>
        <w:t>5. Implementation Pseudocode</w:t>
      </w:r>
    </w:p>
    <w:p>
      <w:r>
        <w:t>```python</w:t>
      </w:r>
    </w:p>
    <w:p>
      <w:r>
        <w:t>def execution_gate(t, spread, avg_range_n, threshold_dynamic, gap_risk_score):</w:t>
      </w:r>
    </w:p>
    <w:p>
      <w:r>
        <w:t xml:space="preserve">    F = spread / avg_range_n</w:t>
      </w:r>
    </w:p>
    <w:p>
      <w:r>
        <w:t xml:space="preserve">    </w:t>
      </w:r>
    </w:p>
    <w:p>
      <w:r>
        <w:t xml:space="preserve">    # Base gate</w:t>
      </w:r>
    </w:p>
    <w:p>
      <w:r>
        <w:t xml:space="preserve">    if F &gt;= threshold_dynamic:</w:t>
      </w:r>
    </w:p>
    <w:p>
      <w:r>
        <w:t xml:space="preserve">        return 'BLOCK'</w:t>
      </w:r>
    </w:p>
    <w:p>
      <w:r>
        <w:t xml:space="preserve">    </w:t>
      </w:r>
    </w:p>
    <w:p>
      <w:r>
        <w:t xml:space="preserve">    # Risk override</w:t>
      </w:r>
    </w:p>
    <w:p>
      <w:r>
        <w:t xml:space="preserve">    if exit_signal and gap_risk_score &gt;= G_crit:</w:t>
      </w:r>
    </w:p>
    <w:p>
      <w:r>
        <w:t xml:space="preserve">        return 'FORCE_EXIT'</w:t>
      </w:r>
    </w:p>
    <w:p>
      <w:r>
        <w:t xml:space="preserve">    </w:t>
      </w:r>
    </w:p>
    <w:p>
      <w:r>
        <w:t xml:space="preserve">    return 'ALLOW'</w:t>
      </w:r>
    </w:p>
    <w:p>
      <w:r>
        <w:t>```</w:t>
      </w:r>
    </w:p>
    <w:p>
      <w:pPr>
        <w:pStyle w:val="Heading1"/>
      </w:pPr>
      <w:r>
        <w:t>6. Integration Notes</w:t>
      </w:r>
    </w:p>
    <w:p>
      <w:r>
        <w:t>• This rule is critical for managing iron condor and spread exits during volatility spikes</w:t>
      </w:r>
    </w:p>
    <w:p>
      <w:r>
        <w:t>• Directly compatible with fuzzy logic and neural sizing systems</w:t>
      </w:r>
    </w:p>
    <w:p>
      <w:r>
        <w:t>• Prevents 'paper profit' illusions from poor execution quality</w:t>
      </w:r>
    </w:p>
    <w:p>
      <w:r>
        <w:t>• Threshold θ(t) can be learned end-to-end via neural head</w:t>
      </w:r>
    </w:p>
    <w:p>
      <w:r>
        <w:t>• Feature columns: spread_abs, spread_pct, avg_range_n, friction_ratio, exec_allow</w:t>
      </w:r>
    </w:p>
    <w:p>
      <w:pPr>
        <w:pStyle w:val="Heading1"/>
      </w:pPr>
      <w:r>
        <w:t>7. Mathematical Proof: Why This Prevents Bad Fills</w:t>
      </w:r>
    </w:p>
    <w:p>
      <w:r>
        <w:t>Theorem: If spread cost exceeds realized price movement, expected slippage dominates expected profit.</w:t>
      </w:r>
    </w:p>
    <w:p/>
    <w:p>
      <w:r>
        <w:t>Proof sketch:</w:t>
      </w:r>
    </w:p>
    <w:p>
      <w:r>
        <w:t>Let P = expected profit from price movement (proportional to AvgRange)</w:t>
      </w:r>
    </w:p>
    <w:p>
      <w:r>
        <w:t>Let S = execution cost (proportional to Spread)</w:t>
      </w:r>
    </w:p>
    <w:p/>
    <w:p>
      <w:r>
        <w:t>Net expected return:</w:t>
      </w:r>
    </w:p>
    <w:p>
      <w:pPr>
        <w:jc w:val="center"/>
      </w:pPr>
      <w:r>
        <w:rPr>
          <w:i/>
        </w:rPr>
        <w:t>E[Return] = P − S</w:t>
      </w:r>
    </w:p>
    <w:p/>
    <w:p>
      <w:r>
        <w:t>If Spread ≥ AvgRange, then S ≥ P, thus:</w:t>
      </w:r>
    </w:p>
    <w:p>
      <w:pPr>
        <w:jc w:val="center"/>
      </w:pPr>
      <w:r>
        <w:rPr>
          <w:i/>
        </w:rPr>
        <w:t>E[Return] ≤ 0</w:t>
      </w:r>
    </w:p>
    <w:p/>
    <w:p>
      <w:r>
        <w:t>Therefore, blocking trades when F ≥ 1 prevents negative expectancy from execution friction. QED.</w:t>
      </w:r>
    </w:p>
    <w:p>
      <w:pPr>
        <w:pStyle w:val="Heading1"/>
      </w:pPr>
      <w:r>
        <w:t>8. References</w:t>
      </w:r>
    </w:p>
    <w:p>
      <w:r>
        <w:t>• The Spread - Average of H-L trading rule (template document)</w:t>
      </w:r>
    </w:p>
    <w:p>
      <w:r>
        <w:t>• Institutional-Grade Trading Rules for SPY Options Model Integration</w:t>
      </w:r>
    </w:p>
    <w:p>
      <w:r>
        <w:t>• Market microstructure literature on execution costs and liquidity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