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E2: Dynamic Band Width Expansion</w:t>
      </w:r>
    </w:p>
    <w:p>
      <w:pPr>
        <w:pStyle w:val="Heading1"/>
      </w:pPr>
      <w:r>
        <w:t>Summary</w:t>
      </w:r>
    </w:p>
    <w:p>
      <w:r>
        <w:t>Uses dynamic Bollinger Band width expansion to detect volatility regime shifts and trend initiation.</w:t>
      </w:r>
    </w:p>
    <w:p/>
    <w:p>
      <w:r>
        <w:t>Strategy Type: Volatility-Based / Trend Detection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Band Width</w:t>
      </w:r>
    </w:p>
    <w:p>
      <w:r>
        <w:t>Bandwidth(t) = (Upper Band − Lower Band) / Middle Band</w:t>
      </w:r>
    </w:p>
    <w:p/>
    <w:p>
      <w:pPr>
        <w:pStyle w:val="Heading2"/>
      </w:pPr>
      <w:r>
        <w:t>Expansion</w:t>
      </w:r>
    </w:p>
    <w:p>
      <w:r>
        <w:t>ΔBandwidth(t) = (Bandwidth(t) − Bandwidth(t−y)) / Bandwidth(t−y) × 100%</w:t>
      </w:r>
    </w:p>
    <w:p/>
    <w:p>
      <w:pPr>
        <w:pStyle w:val="Heading1"/>
      </w:pPr>
      <w:r>
        <w:t>2. Logic Conditions</w:t>
      </w:r>
    </w:p>
    <w:p>
      <w:r>
        <w:t>1. Bandwidth increases &gt; X% over Y bars (default: 10% over 5 bars)</w:t>
      </w:r>
    </w:p>
    <w:p>
      <w:r>
        <w:t>2. Enter in direction of breakout when expansion confirmed</w:t>
      </w:r>
    </w:p>
    <w:p>
      <w:r>
        <w:t>3. Exit when bandwidth contracts or price reverts to dynamic SMA</w:t>
      </w:r>
    </w:p>
    <w:p>
      <w:pPr>
        <w:pStyle w:val="Heading1"/>
      </w:pPr>
      <w:r>
        <w:t>3. Integration Notes</w:t>
      </w:r>
    </w:p>
    <w:p>
      <w:r>
        <w:t>• Detects transition from consolidation to trending</w:t>
      </w:r>
    </w:p>
    <w:p>
      <w:r>
        <w:t>• Leading indicator for volatility regime shifts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