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Rule A2: MACD Crossover with Dynamic Band Expansion [v2.0]</w:t>
      </w:r>
    </w:p>
    <w:p>
      <w:pPr>
        <w:pStyle w:val="Heading1"/>
      </w:pPr>
      <w:r>
        <w:t>Version History &amp; Changelog</w:t>
      </w:r>
    </w:p>
    <w:p>
      <w:r>
        <w:t>Version: v2.0</w:t>
      </w:r>
    </w:p>
    <w:p>
      <w:r>
        <w:t>Updated to align with:</w:t>
      </w:r>
    </w:p>
    <w:p>
      <w:r>
        <w:t xml:space="preserve">  - DeepMamba v2.0 / v2.5 architecture</w:t>
      </w:r>
    </w:p>
    <w:p>
      <w:r>
        <w:t xml:space="preserve">  - Phase 2.5 lag-alignment system</w:t>
      </w:r>
    </w:p>
    <w:p>
      <w:r>
        <w:t xml:space="preserve">  - FIS 11-factor fuzzy membership system</w:t>
      </w:r>
    </w:p>
    <w:p>
      <w:r>
        <w:t xml:space="preserve">  - Lag-aware IV confidence weighting</w:t>
      </w:r>
    </w:p>
    <w:p/>
    <w:p>
      <w:pPr>
        <w:pStyle w:val="Heading2"/>
      </w:pPr>
      <w:r>
        <w:t>Changes in This Version:</w:t>
      </w:r>
    </w:p>
    <w:p>
      <w:pPr>
        <w:pStyle w:val="ListBullet"/>
      </w:pPr>
      <w:r>
        <w:t>MACD normalization now uses vol_ewma (from v2.1 feature schema) instead of σ_n</w:t>
      </w:r>
    </w:p>
    <w:p>
      <w:pPr>
        <w:pStyle w:val="ListBullet"/>
      </w:pPr>
      <w:r>
        <w:t>Expansion(t, y) tied to bandwidth percentile instead of absolute percentage</w:t>
      </w:r>
    </w:p>
    <w:p>
      <w:pPr>
        <w:pStyle w:val="ListBullet"/>
      </w:pPr>
      <w:r>
        <w:t>Added lag-aware IV confidence weighting for breakout confirmation</w:t>
      </w:r>
    </w:p>
    <w:p>
      <w:pPr>
        <w:pStyle w:val="ListBullet"/>
      </w:pPr>
      <w:r>
        <w:t>Updated parameter table with new thresholds</w:t>
      </w:r>
    </w:p>
    <w:p/>
    <w:p>
      <w:pPr>
        <w:pStyle w:val="Heading1"/>
      </w:pPr>
      <w:r>
        <w:t>Summary</w:t>
      </w:r>
    </w:p>
    <w:p>
      <w:r>
        <w:t>This rule uses a volatility-adaptive MACD crossover in conjunction with dynamic Bollinger Band expansion to identify strong trend initiation. The rule captures the transition from consolidation (narrow bands) to trending (widening bands) with momentum confirmation from MACD.</w:t>
      </w:r>
    </w:p>
    <w:p/>
    <w:p>
      <w:r>
        <w:t>Strategy Type: Trend-Following / Momentum</w:t>
      </w:r>
    </w:p>
    <w:p>
      <w:r>
        <w:t>Timeframe: 1-minute, 5-minute, 15-minute</w:t>
      </w:r>
    </w:p>
    <w:p>
      <w:r>
        <w:t>Application: Long/short directional trades, call/put spreads</w:t>
      </w:r>
    </w:p>
    <w:p>
      <w:pPr>
        <w:pStyle w:val="Heading1"/>
      </w:pPr>
      <w:r>
        <w:t>1. Mathematical Derivations</w:t>
      </w:r>
    </w:p>
    <w:p>
      <w:pPr>
        <w:pStyle w:val="Heading2"/>
      </w:pPr>
      <w:r>
        <w:t>1.1 Volatility-Adaptive MACD (UPDATED)</w:t>
      </w:r>
    </w:p>
    <w:p>
      <w:r>
        <w:t>Standard MACD is computed as:</w:t>
      </w:r>
    </w:p>
    <w:p>
      <w:pPr>
        <w:jc w:val="center"/>
      </w:pPr>
      <w:r>
        <w:rPr>
          <w:i/>
        </w:rPr>
        <w:t>MACD(t) = EMA_12(t) - EMA_26(t)</w:t>
      </w:r>
    </w:p>
    <w:p>
      <w:pPr>
        <w:jc w:val="center"/>
      </w:pPr>
      <w:r>
        <w:rPr>
          <w:i/>
        </w:rPr>
        <w:t>Signal(t) = EMA_9(MACD(t))</w:t>
      </w:r>
    </w:p>
    <w:p>
      <w:pPr>
        <w:jc w:val="center"/>
      </w:pPr>
      <w:r>
        <w:rPr>
          <w:i/>
        </w:rPr>
        <w:t>Histogram(t) = MACD(t) - Signal(t)</w:t>
      </w:r>
    </w:p>
    <w:p/>
    <w:p>
      <w:r>
        <w:t>UPDATED: The volatility-normalized MACD now uses vol_ewma from the v2.1 feature schema:</w:t>
      </w:r>
    </w:p>
    <w:p>
      <w:pPr>
        <w:jc w:val="center"/>
      </w:pPr>
      <w:r>
        <w:rPr>
          <w:i/>
        </w:rPr>
        <w:t>vol_ewma(t) = EWMA_α(|returns(t)|)</w:t>
      </w:r>
    </w:p>
    <w:p>
      <w:pPr>
        <w:jc w:val="center"/>
      </w:pPr>
      <w:r>
        <w:rPr>
          <w:i/>
        </w:rPr>
        <w:t>MACD_normalized(t) = MACD(t) / vol_ewma(t)</w:t>
      </w:r>
    </w:p>
    <w:p>
      <w:pPr>
        <w:jc w:val="center"/>
      </w:pPr>
      <w:r>
        <w:rPr>
          <w:i/>
        </w:rPr>
        <w:t>Signal_normalized(t) = Signal(t) / vol_ewma(t)</w:t>
      </w:r>
    </w:p>
    <w:p/>
    <w:p>
      <w:r>
        <w:t>Where α is the EWMA smoothing factor (typically 0.94 for daily, scaled for intraday).</w:t>
      </w:r>
    </w:p>
    <w:p/>
    <w:p>
      <w:r>
        <w:t>This provides superior regime adaptability compared to rolling standard deviation.</w:t>
      </w:r>
    </w:p>
    <w:p>
      <w:pPr>
        <w:pStyle w:val="Heading2"/>
      </w:pPr>
      <w:r>
        <w:t>1.2 Dynamic Bollinger Band Expansion (UPDATED)</w:t>
      </w:r>
    </w:p>
    <w:p>
      <w:r>
        <w:t>UPDATED: Band expansion is now measured using bandwidth percentile ranking:</w:t>
      </w:r>
    </w:p>
    <w:p>
      <w:pPr>
        <w:jc w:val="center"/>
      </w:pPr>
      <w:r>
        <w:rPr>
          <w:i/>
        </w:rPr>
        <w:t>Bandwidth(t) = (Upper Band(t) - Lower Band(t)) / Middle Band(t)</w:t>
      </w:r>
    </w:p>
    <w:p>
      <w:pPr>
        <w:jc w:val="center"/>
      </w:pPr>
      <w:r>
        <w:rPr>
          <w:i/>
        </w:rPr>
        <w:t>BW_percentile(t, w) = PercentileRank(Bandwidth(t), Bandwidth[t-w:t])</w:t>
      </w:r>
    </w:p>
    <w:p/>
    <w:p>
      <w:r>
        <w:t>An expansion event is detected when:</w:t>
      </w:r>
    </w:p>
    <w:p>
      <w:pPr>
        <w:jc w:val="center"/>
      </w:pPr>
      <w:r>
        <w:rPr>
          <w:i/>
        </w:rPr>
        <w:t>BW_percentile(t, w) &gt; P_threshold</w:t>
      </w:r>
    </w:p>
    <w:p/>
    <w:p>
      <w:r>
        <w:t>Default: P_threshold = 75th percentile, w = 100 bars</w:t>
      </w:r>
    </w:p>
    <w:p/>
    <w:p>
      <w:r>
        <w:t>Additionally, the rate of expansion is computed as:</w:t>
      </w:r>
    </w:p>
    <w:p>
      <w:pPr>
        <w:jc w:val="center"/>
      </w:pPr>
      <w:r>
        <w:rPr>
          <w:i/>
        </w:rPr>
        <w:t>Expansion_rate(t, y) = (Bandwidth(t) - Bandwidth(t-y)) / Bandwidth(t-y)</w:t>
      </w:r>
    </w:p>
    <w:p/>
    <w:p>
      <w:r>
        <w:t>Confirming expansion when:</w:t>
      </w:r>
    </w:p>
    <w:p>
      <w:pPr>
        <w:jc w:val="center"/>
      </w:pPr>
      <w:r>
        <w:rPr>
          <w:i/>
        </w:rPr>
        <w:t>Expansion_rate(t, 5) &gt; 0 AND BW_percentile(t, 100) &gt; 75</w:t>
      </w:r>
    </w:p>
    <w:p>
      <w:pPr>
        <w:pStyle w:val="Heading2"/>
      </w:pPr>
      <w:r>
        <w:t>1.3 Lag-Aware IV Confidence Weighting (NEW)</w:t>
      </w:r>
    </w:p>
    <w:p>
      <w:r>
        <w:t>NEW: Breakout confirmation is weighted by IV confidence to account for data lag:</w:t>
      </w:r>
    </w:p>
    <w:p>
      <w:pPr>
        <w:jc w:val="center"/>
      </w:pPr>
      <w:r>
        <w:rPr>
          <w:i/>
        </w:rPr>
        <w:t>IV_confidence(t) = exp(-λ · lag_minutes(t))</w:t>
      </w:r>
    </w:p>
    <w:p/>
    <w:p>
      <w:r>
        <w:t>Where:</w:t>
      </w:r>
    </w:p>
    <w:p>
      <w:r>
        <w:t xml:space="preserve">  - lag_minutes(t) = minutes since last IV update</w:t>
      </w:r>
    </w:p>
    <w:p>
      <w:r>
        <w:t xml:space="preserve">  - λ = decay rate (default 0.05 for 5-minute half-life)</w:t>
      </w:r>
    </w:p>
    <w:p/>
    <w:p>
      <w:r>
        <w:t>Breakout confidence score:</w:t>
      </w:r>
    </w:p>
    <w:p>
      <w:pPr>
        <w:jc w:val="center"/>
      </w:pPr>
      <w:r>
        <w:rPr>
          <w:i/>
        </w:rPr>
        <w:t>Breakout_score(t) = MACD_crossover(t) × BW_expansion(t) × IV_confidence(t)</w:t>
      </w:r>
    </w:p>
    <w:p/>
    <w:p>
      <w:r>
        <w:t>Entry is allowed only when:</w:t>
      </w:r>
    </w:p>
    <w:p>
      <w:pPr>
        <w:jc w:val="center"/>
      </w:pPr>
      <w:r>
        <w:rPr>
          <w:i/>
        </w:rPr>
        <w:t>Breakout_score(t) &gt; threshold (default 0.7)</w:t>
      </w:r>
    </w:p>
    <w:p>
      <w:pPr>
        <w:pStyle w:val="Heading1"/>
      </w:pPr>
      <w:r>
        <w:t>2. Logic Conditions (UPDATED)</w:t>
      </w:r>
    </w:p>
    <w:p>
      <w:r>
        <w:t>For LONG entry:</w:t>
      </w:r>
    </w:p>
    <w:p>
      <w:r>
        <w:t>1. Bollinger Bands widening: BW_percentile(t, 100) &gt; 75 AND Expansion_rate(t, 5) &gt; 0</w:t>
      </w:r>
    </w:p>
    <w:p>
      <w:r>
        <w:t>2. MACD bullish crossover: MACD_normalized(t) crosses above Signal_normalized(t)</w:t>
      </w:r>
    </w:p>
    <w:p>
      <w:r>
        <w:t>3. ADX_normalized(t) &gt; 20 (minimum trend strength)</w:t>
      </w:r>
    </w:p>
    <w:p>
      <w:r>
        <w:t>4. Price breaks above Upper Dynamic Band</w:t>
      </w:r>
    </w:p>
    <w:p>
      <w:r>
        <w:t>5. NEW: Breakout_score(t) &gt; 0.7 (IV confidence-weighted)</w:t>
      </w:r>
    </w:p>
    <w:p/>
    <w:p>
      <w:r>
        <w:t>For SHORT entry:</w:t>
      </w:r>
    </w:p>
    <w:p>
      <w:r>
        <w:t>1. Bollinger Bands widening: BW_percentile(t, 100) &gt; 75 AND Expansion_rate(t, 5) &gt; 0</w:t>
      </w:r>
    </w:p>
    <w:p>
      <w:r>
        <w:t>2. MACD bearish crossover: MACD_normalized(t) crosses below Signal_normalized(t)</w:t>
      </w:r>
    </w:p>
    <w:p>
      <w:r>
        <w:t>3. ADX_normalized(t) &gt; 20</w:t>
      </w:r>
    </w:p>
    <w:p>
      <w:r>
        <w:t>4. Price breaks below Lower Dynamic Band</w:t>
      </w:r>
    </w:p>
    <w:p>
      <w:r>
        <w:t>5. NEW: Breakout_score(t) &gt; 0.7</w:t>
      </w:r>
    </w:p>
    <w:p>
      <w:pPr>
        <w:pStyle w:val="Heading1"/>
      </w:pPr>
      <w:r>
        <w:t>3. Entry and Exit Triggers</w:t>
      </w:r>
    </w:p>
    <w:p>
      <w:pPr>
        <w:pStyle w:val="Heading2"/>
      </w:pPr>
      <w:r>
        <w:t>3.1 Entry Trigger</w:t>
      </w:r>
    </w:p>
    <w:p>
      <w:r>
        <w:t>- LONG: Enter at bar close when all five logic conditions are met</w:t>
      </w:r>
    </w:p>
    <w:p>
      <w:r>
        <w:t>- SHORT: Enter at bar close when all five logic conditions are met</w:t>
      </w:r>
    </w:p>
    <w:p>
      <w:r>
        <w:t>- NEW: Entry deferred if IV_confidence(t) &lt; 0.5 (stale IV data)</w:t>
      </w:r>
    </w:p>
    <w:p>
      <w:pPr>
        <w:pStyle w:val="Heading2"/>
      </w:pPr>
      <w:r>
        <w:t>3.2 Exit Trigger</w:t>
      </w:r>
    </w:p>
    <w:p>
      <w:r>
        <w:t>Exit when:</w:t>
      </w:r>
    </w:p>
    <w:p>
      <w:r>
        <w:t>- MACD line crosses back (reversal crossover)</w:t>
      </w:r>
    </w:p>
    <w:p>
      <w:r>
        <w:t>- Price closes below/above Middle Dynamic Band (for long/short)</w:t>
      </w:r>
    </w:p>
    <w:p>
      <w:r>
        <w:t>- Bollinger Band width begins to contract (BW_percentile &lt; 50)</w:t>
      </w:r>
    </w:p>
    <w:p>
      <w:r>
        <w:t>- IV_confidence(t) drops below 0.3 (data staleness risk)</w:t>
      </w:r>
    </w:p>
    <w:p>
      <w:pPr>
        <w:pStyle w:val="Heading1"/>
      </w:pPr>
      <w:r>
        <w:t>4. Parameter Table (UPDATED)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Parameter</w:t>
            </w:r>
          </w:p>
        </w:tc>
        <w:tc>
          <w:tcPr>
            <w:tcW w:type="dxa" w:w="2880"/>
          </w:tcPr>
          <w:p>
            <w:r>
              <w:t>Default Value</w:t>
            </w:r>
          </w:p>
        </w:tc>
        <w:tc>
          <w:tcPr>
            <w:tcW w:type="dxa" w:w="2880"/>
          </w:tcPr>
          <w:p>
            <w:r>
              <w:t>Description</w:t>
            </w:r>
          </w:p>
        </w:tc>
      </w:tr>
      <w:tr>
        <w:tc>
          <w:tcPr>
            <w:tcW w:type="dxa" w:w="2880"/>
          </w:tcPr>
          <w:p>
            <w:r>
              <w:t>MACD Fast Period</w:t>
            </w:r>
          </w:p>
        </w:tc>
        <w:tc>
          <w:tcPr>
            <w:tcW w:type="dxa" w:w="2880"/>
          </w:tcPr>
          <w:p>
            <w:r>
              <w:t>12</w:t>
            </w:r>
          </w:p>
        </w:tc>
        <w:tc>
          <w:tcPr>
            <w:tcW w:type="dxa" w:w="2880"/>
          </w:tcPr>
          <w:p>
            <w:r>
              <w:t>Fast EMA period</w:t>
            </w:r>
          </w:p>
        </w:tc>
      </w:tr>
      <w:tr>
        <w:tc>
          <w:tcPr>
            <w:tcW w:type="dxa" w:w="2880"/>
          </w:tcPr>
          <w:p>
            <w:r>
              <w:t>MACD Slow Period</w:t>
            </w:r>
          </w:p>
        </w:tc>
        <w:tc>
          <w:tcPr>
            <w:tcW w:type="dxa" w:w="2880"/>
          </w:tcPr>
          <w:p>
            <w:r>
              <w:t>26</w:t>
            </w:r>
          </w:p>
        </w:tc>
        <w:tc>
          <w:tcPr>
            <w:tcW w:type="dxa" w:w="2880"/>
          </w:tcPr>
          <w:p>
            <w:r>
              <w:t>Slow EMA period</w:t>
            </w:r>
          </w:p>
        </w:tc>
      </w:tr>
      <w:tr>
        <w:tc>
          <w:tcPr>
            <w:tcW w:type="dxa" w:w="2880"/>
          </w:tcPr>
          <w:p>
            <w:r>
              <w:t>MACD Signal Period</w:t>
            </w:r>
          </w:p>
        </w:tc>
        <w:tc>
          <w:tcPr>
            <w:tcW w:type="dxa" w:w="2880"/>
          </w:tcPr>
          <w:p>
            <w:r>
              <w:t>9</w:t>
            </w:r>
          </w:p>
        </w:tc>
        <w:tc>
          <w:tcPr>
            <w:tcW w:type="dxa" w:w="2880"/>
          </w:tcPr>
          <w:p>
            <w:r>
              <w:t>Signal line EMA period</w:t>
            </w:r>
          </w:p>
        </w:tc>
      </w:tr>
      <w:tr>
        <w:tc>
          <w:tcPr>
            <w:tcW w:type="dxa" w:w="2880"/>
          </w:tcPr>
          <w:p>
            <w:r>
              <w:t>vol_ewma α</w:t>
            </w:r>
          </w:p>
        </w:tc>
        <w:tc>
          <w:tcPr>
            <w:tcW w:type="dxa" w:w="2880"/>
          </w:tcPr>
          <w:p>
            <w:r>
              <w:t>0.94</w:t>
            </w:r>
          </w:p>
        </w:tc>
        <w:tc>
          <w:tcPr>
            <w:tcW w:type="dxa" w:w="2880"/>
          </w:tcPr>
          <w:p>
            <w:r>
              <w:t>EWMA smoothing factor for volatility</w:t>
            </w:r>
          </w:p>
        </w:tc>
      </w:tr>
      <w:tr>
        <w:tc>
          <w:tcPr>
            <w:tcW w:type="dxa" w:w="2880"/>
          </w:tcPr>
          <w:p>
            <w:r>
              <w:t>BW Percentile Threshold</w:t>
            </w:r>
          </w:p>
        </w:tc>
        <w:tc>
          <w:tcPr>
            <w:tcW w:type="dxa" w:w="2880"/>
          </w:tcPr>
          <w:p>
            <w:r>
              <w:t>75</w:t>
            </w:r>
          </w:p>
        </w:tc>
        <w:tc>
          <w:tcPr>
            <w:tcW w:type="dxa" w:w="2880"/>
          </w:tcPr>
          <w:p>
            <w:r>
              <w:t>Minimum bandwidth percentile for expansion</w:t>
            </w:r>
          </w:p>
        </w:tc>
      </w:tr>
      <w:tr>
        <w:tc>
          <w:tcPr>
            <w:tcW w:type="dxa" w:w="2880"/>
          </w:tcPr>
          <w:p>
            <w:r>
              <w:t>BW Lookback w</w:t>
            </w:r>
          </w:p>
        </w:tc>
        <w:tc>
          <w:tcPr>
            <w:tcW w:type="dxa" w:w="2880"/>
          </w:tcPr>
          <w:p>
            <w:r>
              <w:t>100</w:t>
            </w:r>
          </w:p>
        </w:tc>
        <w:tc>
          <w:tcPr>
            <w:tcW w:type="dxa" w:w="2880"/>
          </w:tcPr>
          <w:p>
            <w:r>
              <w:t>Bars for percentile ranking</w:t>
            </w:r>
          </w:p>
        </w:tc>
      </w:tr>
      <w:tr>
        <w:tc>
          <w:tcPr>
            <w:tcW w:type="dxa" w:w="2880"/>
          </w:tcPr>
          <w:p>
            <w:r>
              <w:t>IV Confidence λ</w:t>
            </w:r>
          </w:p>
        </w:tc>
        <w:tc>
          <w:tcPr>
            <w:tcW w:type="dxa" w:w="2880"/>
          </w:tcPr>
          <w:p>
            <w:r>
              <w:t>0.05</w:t>
            </w:r>
          </w:p>
        </w:tc>
        <w:tc>
          <w:tcPr>
            <w:tcW w:type="dxa" w:w="2880"/>
          </w:tcPr>
          <w:p>
            <w:r>
              <w:t>IV staleness decay rate</w:t>
            </w:r>
          </w:p>
        </w:tc>
      </w:tr>
      <w:tr>
        <w:tc>
          <w:tcPr>
            <w:tcW w:type="dxa" w:w="2880"/>
          </w:tcPr>
          <w:p>
            <w:r>
              <w:t>Breakout Score Threshold</w:t>
            </w:r>
          </w:p>
        </w:tc>
        <w:tc>
          <w:tcPr>
            <w:tcW w:type="dxa" w:w="2880"/>
          </w:tcPr>
          <w:p>
            <w:r>
              <w:t>0.7</w:t>
            </w:r>
          </w:p>
        </w:tc>
        <w:tc>
          <w:tcPr>
            <w:tcW w:type="dxa" w:w="2880"/>
          </w:tcPr>
          <w:p>
            <w:r>
              <w:t>Minimum confidence for entry</w:t>
            </w:r>
          </w:p>
        </w:tc>
      </w:tr>
    </w:tbl>
    <w:p>
      <w:pPr>
        <w:pStyle w:val="Heading1"/>
      </w:pPr>
      <w:r>
        <w:t>5. Integration Notes</w:t>
      </w:r>
    </w:p>
    <w:p>
      <w:r>
        <w:t>- MACD normalization uses vol_ewma from v2.1 feature schema</w:t>
      </w:r>
    </w:p>
    <w:p>
      <w:r>
        <w:t>- Band expansion uses percentile ranking for regime invariance</w:t>
      </w:r>
    </w:p>
    <w:p>
      <w:r>
        <w:t>- IV confidence weighting prevents entries during data staleness</w:t>
      </w:r>
    </w:p>
    <w:p>
      <w:r>
        <w:t>- Compatible with fuzzy logic confidence scoring</w:t>
      </w:r>
    </w:p>
    <w:p>
      <w:r>
        <w:t>- All features pre-computed in CondorBrain feature pipeline</w:t>
      </w:r>
    </w:p>
    <w:p>
      <w:pPr>
        <w:pStyle w:val="Heading1"/>
      </w:pPr>
      <w:r>
        <w:t>6. References</w:t>
      </w:r>
    </w:p>
    <w:p>
      <w:r>
        <w:t>- scientific_spec.md (v2.1 feature schema)</w:t>
      </w:r>
    </w:p>
    <w:p>
      <w:r>
        <w:t>- Dynamic Market Indicators - Math and Pythonic integration</w:t>
      </w:r>
    </w:p>
    <w:p>
      <w:r>
        <w:t>- Phase 2.5 Lag-Alignment System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