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C1: Dynamic Band Squeeze with Breakout Candle [v2.0]</w:t>
      </w:r>
    </w:p>
    <w:p>
      <w:pPr>
        <w:pStyle w:val="Heading1"/>
      </w:pPr>
      <w:r>
        <w:t>Version History &amp; Changelog</w:t>
      </w:r>
    </w:p>
    <w:p>
      <w:r>
        <w:t>Version: v2.0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FIS 11-factor fuzzy membership system</w:t>
      </w:r>
    </w:p>
    <w:p>
      <w:r>
        <w:t xml:space="preserve">  - Lag-aware IV confidence weighting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Added explicit bandwidth percentile formula for squeeze detection</w:t>
      </w:r>
    </w:p>
    <w:p>
      <w:pPr>
        <w:pStyle w:val="ListBullet"/>
      </w:pPr>
      <w:r>
        <w:t>Added MTF confirmation as recommended (not optional)</w:t>
      </w:r>
    </w:p>
    <w:p>
      <w:pPr>
        <w:pStyle w:val="ListBullet"/>
      </w:pPr>
      <w:r>
        <w:t>Added lag-aware IV confidence weighting</w:t>
      </w:r>
    </w:p>
    <w:p>
      <w:pPr>
        <w:pStyle w:val="ListBullet"/>
      </w:pPr>
      <w:r>
        <w:t>Updated breakout confirmation logic</w:t>
      </w:r>
    </w:p>
    <w:p/>
    <w:p>
      <w:pPr>
        <w:pStyle w:val="Heading1"/>
      </w:pPr>
      <w:r>
        <w:t>Summary</w:t>
      </w:r>
    </w:p>
    <w:p>
      <w:r>
        <w:t>Detects breakout from consolidation using dynamic Bollinger Band squeeze and volume confirmation. The rule identifies low-volatility compression periods followed by directional expansion, validated by multi-timeframe consensus and IV confidence.</w:t>
      </w:r>
    </w:p>
    <w:p/>
    <w:p>
      <w:r>
        <w:t>Strategy Type: Breakout / Volatility Expansion</w:t>
      </w:r>
    </w:p>
    <w:p>
      <w:r>
        <w:t>Timeframe: 1-minute, 5-minute, 15-minute</w:t>
      </w:r>
    </w:p>
    <w:p>
      <w:r>
        <w:t>Application: Directional calls/puts, breakout spreads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Squeeze Detection (UPDATED)</w:t>
      </w:r>
    </w:p>
    <w:p>
      <w:r>
        <w:t>UPDATED: Squeeze is detected using bandwidth percentile ranking:</w:t>
      </w:r>
    </w:p>
    <w:p>
      <w:pPr>
        <w:jc w:val="center"/>
      </w:pPr>
      <w:r>
        <w:rPr>
          <w:i/>
        </w:rPr>
        <w:t>Bandwidth(t) = (Upper Band(t) - Lower Band(t)) / Middle Band(t)</w:t>
      </w:r>
    </w:p>
    <w:p>
      <w:pPr>
        <w:jc w:val="center"/>
      </w:pPr>
      <w:r>
        <w:rPr>
          <w:i/>
        </w:rPr>
        <w:t>BW_percentile(t, w) = PercentileRank(Bandwidth(t), Bandwidth[t-w:t])</w:t>
      </w:r>
    </w:p>
    <w:p/>
    <w:p>
      <w:r>
        <w:t>Squeeze condition:</w:t>
      </w:r>
    </w:p>
    <w:p>
      <w:pPr>
        <w:jc w:val="center"/>
      </w:pPr>
      <w:r>
        <w:rPr>
          <w:i/>
        </w:rPr>
        <w:t>BW_percentile(t, w) &lt; 10</w:t>
      </w:r>
    </w:p>
    <w:p/>
    <w:p>
      <w:r>
        <w:t>Default: w = 100 bars (10th percentile threshold)</w:t>
      </w:r>
    </w:p>
    <w:p>
      <w:pPr>
        <w:pStyle w:val="Heading2"/>
      </w:pPr>
      <w:r>
        <w:t>1.2 Breakout Confirmation</w:t>
      </w:r>
    </w:p>
    <w:p>
      <w:r>
        <w:t>Breakout candle:</w:t>
      </w:r>
    </w:p>
    <w:p>
      <w:pPr>
        <w:jc w:val="center"/>
      </w:pPr>
      <w:r>
        <w:rPr>
          <w:i/>
        </w:rPr>
        <w:t>Bullish: Close(t) &gt; Upper Band(t)</w:t>
      </w:r>
    </w:p>
    <w:p>
      <w:pPr>
        <w:jc w:val="center"/>
      </w:pPr>
      <w:r>
        <w:rPr>
          <w:i/>
        </w:rPr>
        <w:t>Bearish: Close(t) &lt; Lower Band(t)</w:t>
      </w:r>
    </w:p>
    <w:p>
      <w:pPr>
        <w:pStyle w:val="Heading2"/>
      </w:pPr>
      <w:r>
        <w:t>1.3 Multi-Timeframe Consensus (NEW)</w:t>
      </w:r>
    </w:p>
    <w:p>
      <w:r>
        <w:t>NEW: MTF consensus required for validation:</w:t>
      </w:r>
    </w:p>
    <w:p>
      <w:pPr>
        <w:jc w:val="center"/>
      </w:pPr>
      <w:r>
        <w:rPr>
          <w:i/>
        </w:rPr>
        <w:t>MTF_consensus(t) = (w_1m · Signal_1m + w_5m · Signal_5m + w_15m · Signal_15m) / 3</w:t>
      </w:r>
    </w:p>
    <w:p/>
    <w:p>
      <w:r>
        <w:t>Where Signal_tf ∈ {-1, 0, +1} for bearish, neutral, bullish</w:t>
      </w:r>
    </w:p>
    <w:p>
      <w:r>
        <w:t>Default weights: w_1m=0.2, w_5m=0.3, w_15m=0.5</w:t>
      </w:r>
    </w:p>
    <w:p/>
    <w:p>
      <w:r>
        <w:t>Consensus requirement:</w:t>
      </w:r>
    </w:p>
    <w:p>
      <w:pPr>
        <w:jc w:val="center"/>
      </w:pPr>
      <w:r>
        <w:rPr>
          <w:i/>
        </w:rPr>
        <w:t>MTF_consensus(t) &gt; 0.7 for bullish breakout</w:t>
      </w:r>
    </w:p>
    <w:p>
      <w:pPr>
        <w:jc w:val="center"/>
      </w:pPr>
      <w:r>
        <w:rPr>
          <w:i/>
        </w:rPr>
        <w:t>MTF_consensus(t) &lt; -0.7 for bearish breakout</w:t>
      </w:r>
    </w:p>
    <w:p>
      <w:pPr>
        <w:pStyle w:val="Heading2"/>
      </w:pPr>
      <w:r>
        <w:t>1.4 Lag-Aware IV Confidence (NEW)</w:t>
      </w:r>
    </w:p>
    <w:p>
      <w:r>
        <w:t>NEW: IV confidence weighting:</w:t>
      </w:r>
    </w:p>
    <w:p>
      <w:pPr>
        <w:jc w:val="center"/>
      </w:pPr>
      <w:r>
        <w:rPr>
          <w:i/>
        </w:rPr>
        <w:t>IV_confidence(t) = exp(-λ · lag_minutes(t))</w:t>
      </w:r>
    </w:p>
    <w:p/>
    <w:p>
      <w:r>
        <w:t>Breakout is validated only when:</w:t>
      </w:r>
    </w:p>
    <w:p>
      <w:pPr>
        <w:jc w:val="center"/>
      </w:pPr>
      <w:r>
        <w:rPr>
          <w:i/>
        </w:rPr>
        <w:t>IV_confidence(t) &gt; 0.5</w:t>
      </w:r>
    </w:p>
    <w:p>
      <w:pPr>
        <w:pStyle w:val="Heading1"/>
      </w:pPr>
      <w:r>
        <w:t>2. Logic Conditions (UPDATED)</w:t>
      </w:r>
    </w:p>
    <w:p>
      <w:r>
        <w:t>For LONG breakout:</w:t>
      </w:r>
    </w:p>
    <w:p>
      <w:r>
        <w:t>1. BW_percentile(t, 100) &lt; 10 (squeeze condition)</w:t>
      </w:r>
    </w:p>
    <w:p>
      <w:r>
        <w:t>2. Close(t) &gt; Upper Band(t) (breakout candle)</w:t>
      </w:r>
    </w:p>
    <w:p>
      <w:r>
        <w:t>3. Volume(t) &gt; 1.5 × SMA_20(Volume)</w:t>
      </w:r>
    </w:p>
    <w:p>
      <w:r>
        <w:t>4. NEW: MTF_consensus(t) &gt; 0.7</w:t>
      </w:r>
    </w:p>
    <w:p>
      <w:r>
        <w:t>5. NEW: IV_confidence(t) &gt; 0.5</w:t>
      </w:r>
    </w:p>
    <w:p/>
    <w:p>
      <w:r>
        <w:t>For SHORT breakout:</w:t>
      </w:r>
    </w:p>
    <w:p>
      <w:r>
        <w:t>1. BW_percentile(t, 100) &lt; 10</w:t>
      </w:r>
    </w:p>
    <w:p>
      <w:r>
        <w:t>2. Close(t) &lt; Lower Band(t)</w:t>
      </w:r>
    </w:p>
    <w:p>
      <w:r>
        <w:t>3. Volume(t) &gt; 1.5 × SMA_20(Volume)</w:t>
      </w:r>
    </w:p>
    <w:p>
      <w:r>
        <w:t>4. NEW: MTF_consensus(t) &lt; -0.7</w:t>
      </w:r>
    </w:p>
    <w:p>
      <w:r>
        <w:t>5. NEW: IV_confidence(t) &gt; 0.5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- Enter at bar close when all five conditions met</w:t>
      </w:r>
    </w:p>
    <w:p>
      <w:r>
        <w:t>- Defer entry if IV_confidence &lt; 0.5</w:t>
      </w:r>
    </w:p>
    <w:p>
      <w:pPr>
        <w:pStyle w:val="Heading2"/>
      </w:pPr>
      <w:r>
        <w:t>3.2 Exit Trigger</w:t>
      </w:r>
    </w:p>
    <w:p>
      <w:r>
        <w:t>- Price closes back inside bands</w:t>
      </w:r>
    </w:p>
    <w:p>
      <w:r>
        <w:t>- Target based on prior range (squeeze width × expansion multiple)</w:t>
      </w:r>
    </w:p>
    <w:p>
      <w:r>
        <w:t>- MTF consensus reverses</w:t>
      </w:r>
    </w:p>
    <w:p>
      <w:pPr>
        <w:pStyle w:val="Heading1"/>
      </w:pPr>
      <w:r>
        <w:t>4. Parameter Table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BW Percentile Threshold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Maximum percentile for squeeze</w:t>
            </w:r>
          </w:p>
        </w:tc>
      </w:tr>
      <w:tr>
        <w:tc>
          <w:tcPr>
            <w:tcW w:type="dxa" w:w="2880"/>
          </w:tcPr>
          <w:p>
            <w:r>
              <w:t>BW Lookback w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Bars for percentile ranking</w:t>
            </w:r>
          </w:p>
        </w:tc>
      </w:tr>
      <w:tr>
        <w:tc>
          <w:tcPr>
            <w:tcW w:type="dxa" w:w="2880"/>
          </w:tcPr>
          <w:p>
            <w:r>
              <w:t>Volume Threshold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Minimum volume ratio</w:t>
            </w:r>
          </w:p>
        </w:tc>
      </w:tr>
      <w:tr>
        <w:tc>
          <w:tcPr>
            <w:tcW w:type="dxa" w:w="2880"/>
          </w:tcPr>
          <w:p>
            <w:r>
              <w:t>MTF Consensus Threshold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Minimum consensus for entry</w:t>
            </w:r>
          </w:p>
        </w:tc>
      </w:tr>
      <w:tr>
        <w:tc>
          <w:tcPr>
            <w:tcW w:type="dxa" w:w="2880"/>
          </w:tcPr>
          <w:p>
            <w:r>
              <w:t>IV Confidence Threshold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Minimum IV confidence</w:t>
            </w:r>
          </w:p>
        </w:tc>
      </w:tr>
      <w:tr>
        <w:tc>
          <w:tcPr>
            <w:tcW w:type="dxa" w:w="2880"/>
          </w:tcPr>
          <w:p>
            <w:r>
              <w:t>IV Decay λ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IV staleness decay rate</w:t>
            </w:r>
          </w:p>
        </w:tc>
      </w:tr>
    </w:tbl>
    <w:p>
      <w:pPr>
        <w:pStyle w:val="Heading1"/>
      </w:pPr>
      <w:r>
        <w:t>5. Integration Notes</w:t>
      </w:r>
    </w:p>
    <w:p>
      <w:r>
        <w:t>- Squeeze detection uses percentile-based bandwidth threshold</w:t>
      </w:r>
    </w:p>
    <w:p>
      <w:r>
        <w:t>- MTF consensus prevents false breakouts</w:t>
      </w:r>
    </w:p>
    <w:p>
      <w:r>
        <w:t>- IV confidence prevents entries during stale data</w:t>
      </w:r>
    </w:p>
    <w:p>
      <w:r>
        <w:t>- Compatible with multi-timeframe feature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