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Rule D2: Volume Spike with Band Break [v2.0]</w:t>
      </w:r>
    </w:p>
    <w:p>
      <w:pPr>
        <w:pStyle w:val="Heading1"/>
      </w:pPr>
      <w:r>
        <w:t>Version History &amp; Changelog</w:t>
      </w:r>
    </w:p>
    <w:p>
      <w:r>
        <w:t>Version: v2.0</w:t>
      </w:r>
    </w:p>
    <w:p>
      <w:r>
        <w:t>Updated to align with:</w:t>
      </w:r>
    </w:p>
    <w:p>
      <w:r>
        <w:t xml:space="preserve">  - DeepMamba v2.0 / v2.5 architecture</w:t>
      </w:r>
    </w:p>
    <w:p>
      <w:r>
        <w:t xml:space="preserve">  - Phase 2.5 lag-alignment system</w:t>
      </w:r>
    </w:p>
    <w:p>
      <w:r>
        <w:t xml:space="preserve">  - Topological Data Analysis (TDA) v2.0</w:t>
      </w:r>
    </w:p>
    <w:p>
      <w:r>
        <w:t xml:space="preserve">  - VolatilityEnergy &amp; CurvatureProxy features</w:t>
      </w:r>
    </w:p>
    <w:p/>
    <w:p>
      <w:pPr>
        <w:pStyle w:val="Heading2"/>
      </w:pPr>
      <w:r>
        <w:t>Changes in This Version:</w:t>
      </w:r>
    </w:p>
    <w:p>
      <w:pPr>
        <w:pStyle w:val="ListBullet"/>
      </w:pPr>
      <w:r>
        <w:t>Added volatility energy dampening to avoid false spikes</w:t>
      </w:r>
    </w:p>
    <w:p>
      <w:pPr>
        <w:pStyle w:val="ListBullet"/>
      </w:pPr>
      <w:r>
        <w:t>Added lag-aware IV confidence to breakout confirmation</w:t>
      </w:r>
    </w:p>
    <w:p>
      <w:pPr>
        <w:pStyle w:val="ListBullet"/>
      </w:pPr>
      <w:r>
        <w:t>Updated volume ratio normalization</w:t>
      </w:r>
    </w:p>
    <w:p>
      <w:pPr>
        <w:pStyle w:val="ListBullet"/>
      </w:pPr>
      <w:r>
        <w:t>Added regime-aware volume threshold</w:t>
      </w:r>
    </w:p>
    <w:p/>
    <w:p>
      <w:pPr>
        <w:pStyle w:val="Heading1"/>
      </w:pPr>
      <w:r>
        <w:t>Summary</w:t>
      </w:r>
    </w:p>
    <w:p>
      <w:r>
        <w:t>Uses volume surge to confirm momentum breakout beyond dynamic bands. The rule validates institutional participation through regime-aware volume analysis.</w:t>
      </w:r>
    </w:p>
    <w:p/>
    <w:p>
      <w:r>
        <w:t>Strategy Type: Momentum / Volume Confirmation</w:t>
      </w:r>
    </w:p>
    <w:p>
      <w:r>
        <w:t>Timeframe: 1-minute, 5-minute</w:t>
      </w:r>
    </w:p>
    <w:p>
      <w:r>
        <w:t>Application: Momentum trades, breakout confirmation</w:t>
      </w:r>
    </w:p>
    <w:p>
      <w:pPr>
        <w:pStyle w:val="Heading1"/>
      </w:pPr>
      <w:r>
        <w:t>1. Mathematical Derivations</w:t>
      </w:r>
    </w:p>
    <w:p>
      <w:pPr>
        <w:pStyle w:val="Heading2"/>
      </w:pPr>
      <w:r>
        <w:t>1.1 Volume Spike Detection</w:t>
      </w:r>
    </w:p>
    <w:p>
      <w:r>
        <w:t>Volume ratio:</w:t>
      </w:r>
    </w:p>
    <w:p>
      <w:pPr>
        <w:jc w:val="center"/>
      </w:pPr>
      <w:r>
        <w:rPr>
          <w:i/>
        </w:rPr>
        <w:t>VolumeRatio(t) = Volume(t) / SMA_20(Volume)</w:t>
      </w:r>
    </w:p>
    <w:p/>
    <w:p>
      <w:r>
        <w:t>Spike condition:</w:t>
      </w:r>
    </w:p>
    <w:p>
      <w:pPr>
        <w:jc w:val="center"/>
      </w:pPr>
      <w:r>
        <w:rPr>
          <w:i/>
        </w:rPr>
        <w:t>VolumeRatio(t) &gt; 1.5</w:t>
      </w:r>
    </w:p>
    <w:p>
      <w:pPr>
        <w:pStyle w:val="Heading2"/>
      </w:pPr>
      <w:r>
        <w:t>1.2 Volatility Energy Dampening (NEW)</w:t>
      </w:r>
    </w:p>
    <w:p>
      <w:r>
        <w:t>NEW: Adjust volume threshold by volatility regime:</w:t>
      </w:r>
    </w:p>
    <w:p>
      <w:pPr>
        <w:jc w:val="center"/>
      </w:pPr>
      <w:r>
        <w:rPr>
          <w:i/>
        </w:rPr>
        <w:t>VolEnergy(t) = ATR(t) / SMA_50(ATR)</w:t>
      </w:r>
    </w:p>
    <w:p>
      <w:pPr>
        <w:jc w:val="center"/>
      </w:pPr>
      <w:r>
        <w:rPr>
          <w:i/>
        </w:rPr>
        <w:t>VolumeThreshold_dynamic(t) = 1.5 · (1 + γ · max(0, VolEnergy(t) - 1))</w:t>
      </w:r>
    </w:p>
    <w:p/>
    <w:p>
      <w:r>
        <w:t>Default: γ = 0.3</w:t>
      </w:r>
    </w:p>
    <w:p/>
    <w:p>
      <w:r>
        <w:t>This raises the volume bar during high volatility to filter noise.</w:t>
      </w:r>
    </w:p>
    <w:p>
      <w:pPr>
        <w:pStyle w:val="Heading2"/>
      </w:pPr>
      <w:r>
        <w:t>1.3 Band Break with IV Confidence (NEW)</w:t>
      </w:r>
    </w:p>
    <w:p>
      <w:r>
        <w:t>NEW: Weight breakout by IV data freshness:</w:t>
      </w:r>
    </w:p>
    <w:p>
      <w:pPr>
        <w:jc w:val="center"/>
      </w:pPr>
      <w:r>
        <w:rPr>
          <w:i/>
        </w:rPr>
        <w:t>BandBreak(t) = 1 if Close(t) &gt; Upper Band(t) OR Close(t) &lt; Lower Band(t)</w:t>
      </w:r>
    </w:p>
    <w:p>
      <w:pPr>
        <w:jc w:val="center"/>
      </w:pPr>
      <w:r>
        <w:rPr>
          <w:i/>
        </w:rPr>
        <w:t>IV_confidence(t) = exp(-λ · lag_minutes(t))</w:t>
      </w:r>
    </w:p>
    <w:p>
      <w:pPr>
        <w:jc w:val="center"/>
      </w:pPr>
      <w:r>
        <w:rPr>
          <w:i/>
        </w:rPr>
        <w:t>Breakout_score(t) = BandBreak(t) · VolumeRatio(t) · IV_confidence(t)</w:t>
      </w:r>
    </w:p>
    <w:p>
      <w:pPr>
        <w:pStyle w:val="Heading1"/>
      </w:pPr>
      <w:r>
        <w:t>2. Logic Conditions (UPDATED)</w:t>
      </w:r>
    </w:p>
    <w:p>
      <w:r>
        <w:t>For entry:</w:t>
      </w:r>
    </w:p>
    <w:p>
      <w:r>
        <w:t>1. Close(t) breaks Upper/Lower Dynamic Band</w:t>
      </w:r>
    </w:p>
    <w:p>
      <w:r>
        <w:t>2. VolumeRatio(t) &gt; VolumeThreshold_dynamic(t)</w:t>
      </w:r>
    </w:p>
    <w:p>
      <w:r>
        <w:t>3. NEW: IV_confidence(t) &gt; 0.5</w:t>
      </w:r>
    </w:p>
    <w:p>
      <w:r>
        <w:t>4. NEW: Breakout_score(t) &gt; 1.0</w:t>
      </w:r>
    </w:p>
    <w:p>
      <w:pPr>
        <w:pStyle w:val="Heading1"/>
      </w:pPr>
      <w:r>
        <w:t>3. Entry and Exit Triggers</w:t>
      </w:r>
    </w:p>
    <w:p>
      <w:pPr>
        <w:pStyle w:val="Heading2"/>
      </w:pPr>
      <w:r>
        <w:t>3.1 Entry Trigger</w:t>
      </w:r>
    </w:p>
    <w:p>
      <w:r>
        <w:t>- Enter in direction of breakout with volume confirmation</w:t>
      </w:r>
    </w:p>
    <w:p>
      <w:pPr>
        <w:pStyle w:val="Heading2"/>
      </w:pPr>
      <w:r>
        <w:t>3.2 Exit Trigger</w:t>
      </w:r>
    </w:p>
    <w:p>
      <w:r>
        <w:t>- Exit on volume drop (VolumeRatio &lt; 1.0)</w:t>
      </w:r>
    </w:p>
    <w:p>
      <w:r>
        <w:t>- Exit on price reversal to middle band</w:t>
      </w:r>
    </w:p>
    <w:p>
      <w:pPr>
        <w:pStyle w:val="Heading1"/>
      </w:pPr>
      <w:r>
        <w:t>4. Parameter Table (UPDATED)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Default Value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Base Volume Threshold</w:t>
            </w:r>
          </w:p>
        </w:tc>
        <w:tc>
          <w:tcPr>
            <w:tcW w:type="dxa" w:w="2880"/>
          </w:tcPr>
          <w:p>
            <w:r>
              <w:t>1.5</w:t>
            </w:r>
          </w:p>
        </w:tc>
        <w:tc>
          <w:tcPr>
            <w:tcW w:type="dxa" w:w="2880"/>
          </w:tcPr>
          <w:p>
            <w:r>
              <w:t>Base volume ratio for spike</w:t>
            </w:r>
          </w:p>
        </w:tc>
      </w:tr>
      <w:tr>
        <w:tc>
          <w:tcPr>
            <w:tcW w:type="dxa" w:w="2880"/>
          </w:tcPr>
          <w:p>
            <w:r>
              <w:t>VolEnergy Dampening γ</w:t>
            </w:r>
          </w:p>
        </w:tc>
        <w:tc>
          <w:tcPr>
            <w:tcW w:type="dxa" w:w="2880"/>
          </w:tcPr>
          <w:p>
            <w:r>
              <w:t>0.3</w:t>
            </w:r>
          </w:p>
        </w:tc>
        <w:tc>
          <w:tcPr>
            <w:tcW w:type="dxa" w:w="2880"/>
          </w:tcPr>
          <w:p>
            <w:r>
              <w:t>Volatility dampening coefficient</w:t>
            </w:r>
          </w:p>
        </w:tc>
      </w:tr>
      <w:tr>
        <w:tc>
          <w:tcPr>
            <w:tcW w:type="dxa" w:w="2880"/>
          </w:tcPr>
          <w:p>
            <w:r>
              <w:t>IV Confidence Threshold</w:t>
            </w:r>
          </w:p>
        </w:tc>
        <w:tc>
          <w:tcPr>
            <w:tcW w:type="dxa" w:w="2880"/>
          </w:tcPr>
          <w:p>
            <w:r>
              <w:t>0.5</w:t>
            </w:r>
          </w:p>
        </w:tc>
        <w:tc>
          <w:tcPr>
            <w:tcW w:type="dxa" w:w="2880"/>
          </w:tcPr>
          <w:p>
            <w:r>
              <w:t>Minimum IV confidence</w:t>
            </w:r>
          </w:p>
        </w:tc>
      </w:tr>
      <w:tr>
        <w:tc>
          <w:tcPr>
            <w:tcW w:type="dxa" w:w="2880"/>
          </w:tcPr>
          <w:p>
            <w:r>
              <w:t>Breakout Score Threshold</w:t>
            </w:r>
          </w:p>
        </w:tc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Minimum composite score</w:t>
            </w:r>
          </w:p>
        </w:tc>
      </w:tr>
    </w:tbl>
    <w:p>
      <w:pPr>
        <w:pStyle w:val="Heading1"/>
      </w:pPr>
      <w:r>
        <w:t>5. Integration Notes</w:t>
      </w:r>
    </w:p>
    <w:p>
      <w:r>
        <w:t>- Volume threshold adapts to volatility regime</w:t>
      </w:r>
    </w:p>
    <w:p>
      <w:r>
        <w:t>- IV confidence prevents stale data entries</w:t>
      </w:r>
    </w:p>
    <w:p>
      <w:r>
        <w:t>- Simple but effective momentum confirmation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