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41BC" w14:textId="77777777" w:rsidR="00B32288" w:rsidRPr="00D75A02" w:rsidRDefault="00B32288" w:rsidP="00D75A02">
      <w:pPr>
        <w:pStyle w:val="Title"/>
        <w:rPr>
          <w:rFonts w:eastAsia="Times New Roman"/>
          <w:b/>
          <w:bCs/>
          <w:color w:val="0070C0"/>
          <w:sz w:val="44"/>
          <w:szCs w:val="44"/>
        </w:rPr>
      </w:pPr>
      <w:r w:rsidRPr="00D75A02">
        <w:rPr>
          <w:rFonts w:eastAsia="Times New Roman"/>
          <w:b/>
          <w:bCs/>
          <w:color w:val="0070C0"/>
          <w:sz w:val="44"/>
          <w:szCs w:val="44"/>
        </w:rPr>
        <w:t>Robust Pricing–Hedging Duality and DeepMamba2 Integration for SPY Iron Condor Trading: A Technical Research Report</w:t>
      </w:r>
    </w:p>
    <w:p w14:paraId="64277F3E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2AC9FB21">
          <v:rect id="_x0000_i1235" style="width:0;height:1.5pt" o:hralign="center" o:hrstd="t" o:hr="t" fillcolor="#a0a0a0" stroked="f"/>
        </w:pict>
      </w:r>
    </w:p>
    <w:p w14:paraId="5A496555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Abstract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report is a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rasical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extension of its original presented by the author in 2017. It presents a comprehensive synthesis of robust pricing–hedging duality in continuous time, as formalized by Hou and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Obłój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(2015), with 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™ DeepMamba2 neural architecture for institutional-grade SPY iron condor trading. We rigorously connect 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framework, prediction sets, and martingale measures to the 58-dimensional feature space, 7 diffusion-based forward predictors, and 14 institutional trading rules of 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system. The report derives new mathematical relationships linking prediction sets, martingale measures, and fuzzy logic-based position sizing, and details the integration of these concepts into the DeepMamba2 pipeline. Computational physics analogies, advanced feature engineering, and full Python code templates are provided for real-time M1 inference, robust risk control, and optimal entry/exit prediction. The resulting system is designed to maximize Sharpe ratio, minimize drawdown, and achieve superior net profit-to-drawdown (NP/DD) ratios, with production-grade engineering for tick data inference and institutional auditability.</w:t>
      </w:r>
    </w:p>
    <w:p w14:paraId="4CC158BA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21B3E1A7">
          <v:rect id="_x0000_i1236" style="width:0;height:1.5pt" o:hralign="center" o:hrstd="t" o:hr="t" fillcolor="#a0a0a0" stroked="f"/>
        </w:pict>
      </w:r>
    </w:p>
    <w:p w14:paraId="3075B229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Motivation and Scope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Iron condor strategies on SPY are a cornerstone of institutional volatility trading, requiring robust pricing, precise risk management, and adaptive execution in the face of non-stationary, regime-dependent markets. Traditional model-specific approaches, while tractable, fail to account for model uncertainty and the full spectrum of market behaviors. The robust pricing–hedging duality framework, as developed by Hou and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Obłój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(2015), and extended by Bartl et al. (2020), provides a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, model-agnostic foundation for pricing and hedging under uncertainty, leveraging prediction sets and martingale measures to interpolate between model-independent and model-specific regimes 1 2 3 4.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Recent advances in deep sequence modeling, particularly the Mamba-2 state-space architecture, have enabled the construction of neural trading systems capable of learning long-range dependencies, regime transitions, and complex market microstructure features at scale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scientific_spec.md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Enhancing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(Mamba-2) for Institutional-Grade SPY Options Trading.pdf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research-Enhancing the Mamba 2 Neural Network for Advanced Trading and ROI Optimization.pdf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 Brain Mathematical Ref.pdf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. The current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DeepMamba2 system model creation process integrates a 58-dimensional institutional feature set, 7 diffusion-based forward predictors, and a suite of 14 institutional trading rules, with fuzzy logic-based position sizing and regime-aware risk controls.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report aims to rigorously fuse the robust mathematical foundations of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with the engineering and implementation details of 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DeepMamba2 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architecture, providing a blueprint for real-time, risk-aligned, and interpretable iron condor ETF trading on SPY m1, m5, and m15 multi-timeframe OHLCV – SPY Options Contract data in real-time.</w:t>
      </w:r>
    </w:p>
    <w:p w14:paraId="2E409986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0CE49425">
          <v:rect id="_x0000_i1237" style="width:0;height:1.5pt" o:hralign="center" o:hrstd="t" o:hr="t" fillcolor="#a0a0a0" stroked="f"/>
        </w:pict>
      </w:r>
    </w:p>
    <w:p w14:paraId="7F4E8038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Mathematical Framework</w:t>
      </w:r>
    </w:p>
    <w:p w14:paraId="0199DCAF" w14:textId="77777777" w:rsidR="00B32288" w:rsidRPr="00B32288" w:rsidRDefault="00B32288" w:rsidP="00B322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Robust Pricing–Hedging Duality and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</w:p>
    <w:p w14:paraId="06B3CE44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1.1. Core Definitions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Let Ω denote the space of continuous price paths for the underlying and 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options, and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let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𝒳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be the set of European options available for static trading. The agent specifies a prediction set I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Ω, representing the set of paths deemed possible (beliefs), and a subset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𝒫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I for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2.</w:t>
      </w:r>
    </w:p>
    <w:p w14:paraId="3AFCAC05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A600C55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space of continuous price paths for the underlying and options.</w:t>
      </w:r>
    </w:p>
    <w:p w14:paraId="21C5BFD8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A5D8654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set of European options available for static trading.</w:t>
      </w:r>
    </w:p>
    <w:p w14:paraId="30F71B95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I⊂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E9FF85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prediction set (belief set of paths deemed possible);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space of continuous price paths;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⊂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denotes set inclusion.</w:t>
      </w:r>
    </w:p>
    <w:p w14:paraId="35FC435F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P⊂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9B153E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subset of paths used for superhedging;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prediction set;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⊂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denotes set inclusion.</w:t>
      </w:r>
    </w:p>
    <w:p w14:paraId="12EB9357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 trading strategy consists of a static position X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Lin_N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B32288">
        <w:rPr>
          <w:rFonts w:ascii="Cambria Math" w:eastAsia="Times New Roman" w:hAnsi="Cambria Math" w:cs="Cambria Math"/>
          <w:kern w:val="0"/>
          <w14:ligatures w14:val="none"/>
        </w:rPr>
        <w:t>𝒳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) and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a dynamic, progressively measurable process γ of bounded variation, satisfying admissibility constraints:</w:t>
      </w:r>
    </w:p>
    <w:p w14:paraId="728037B6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BE6296B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static position;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Lin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linear combinations of at most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instruments in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European options;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fixed positive integer.</w:t>
      </w:r>
    </w:p>
    <w:p w14:paraId="07CFC1B8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γ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8476D2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dynamic trading process (progressively measurable) of bounded variation.</w:t>
      </w:r>
    </w:p>
    <w:p w14:paraId="2BBF23BF" w14:textId="6FB2280A" w:rsidR="00D75A02" w:rsidRPr="00D75A02" w:rsidRDefault="00D75A02" w:rsidP="00D75A02">
      <w:pPr>
        <w:spacing w:after="0" w:line="240" w:lineRule="auto"/>
        <w:rPr>
          <w:rFonts w:ascii="Times New Roman" w:eastAsia="Times New Roman" w:hAnsi="Times New Roman" w:cs="Times New Roman"/>
          <w:iCs/>
          <w:kern w:val="0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iCs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(S)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≤M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iCs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iCs/>
                      <w:kern w:val="0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sup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0≤u≤t</m:t>
                  </m:r>
                </m:lim>
              </m:limLow>
              <m:r>
                <m:rPr>
                  <m:nor/>
                </m:rPr>
                <w:rPr>
                  <w:rFonts w:ascii="Cambria Math" w:eastAsia="Times New Roman" w:hAnsi="Cambria Math" w:cs="Cambria Math"/>
                  <w:iCs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Cs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,∀S∈Ω,∀t∈[0,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</m:oMath>
      </m:oMathPara>
    </w:p>
    <w:p w14:paraId="6C6B41EE" w14:textId="6067E092" w:rsidR="00B32288" w:rsidRPr="00B32288" w:rsidRDefault="00B32288" w:rsidP="00D75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Cambria Math" w:eastAsia="Times New Roman" w:hAnsi="Cambria Math" w:cs="Times New Roman"/>
          <w:i/>
          <w:kern w:val="0"/>
          <w14:ligatures w14:val="none"/>
        </w:rPr>
        <w:br/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  <m:e/>
        </m:nary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time integral from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(S)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strategy evaluated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along path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infinitesimal increment of the canonical price process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positive constant bounding admissible gains/losses;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sup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0≤u≤t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supremum over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u∈[0,t]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absolute value (magnitude) of the process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fixed exponent controlling growth;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∀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“for all”;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continuous price path;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t∈[0,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]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lies in the interval from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to terminal time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maturity/terminal horizon indexed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D46C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 martingale measure P is a probability measure under which the canonical process S is a local martingale, and P(I) = 1. The set of calibrated market models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𝓜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_{\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{X}, \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{P}, \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{P}} consists of martingale measures that price all options in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𝒳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correctly and are supported on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𝒫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0980F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4763C89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probability measure (a candidate market model).</w:t>
      </w:r>
    </w:p>
    <w:p w14:paraId="16FD1962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6C38545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canonical price process (the coordinate mapping on the path space).</w:t>
      </w:r>
    </w:p>
    <w:p w14:paraId="15DC522E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P(I)=1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0496555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P(I)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probability (under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) of the prediction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prediction set;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full probability mass (almost sure support 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C157AD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X,P,P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4D73F8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X,P,P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calibrated martingale measures that (i) are consistent with prices of instruments in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and (ii) are supported on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statically traded European options;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superhedging set.</w:t>
      </w:r>
    </w:p>
    <w:p w14:paraId="2466CF0E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1.2.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and Duality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minimal super-replicating cost for a contingent claim G on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𝒫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65F98E03" w14:textId="26EB6949" w:rsidR="00D75A02" w:rsidRPr="00D75A02" w:rsidRDefault="00D75A02" w:rsidP="00B32288">
      <w:pPr>
        <w:spacing w:before="100" w:beforeAutospacing="1" w:after="100" w:afterAutospacing="1" w:line="240" w:lineRule="auto"/>
        <w:rPr>
          <w:rStyle w:val="mpunct"/>
          <w:rFonts w:ascii="Cambria Math" w:hAnsi="Cambria Math"/>
        </w:rPr>
      </w:pPr>
      <m:oMathPara>
        <m:oMath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w:rPr>
                  <w:rStyle w:val="mpunct"/>
                  <w:rFonts w:ascii="Cambria Math" w:hAnsi="Cambria Math"/>
                </w:rPr>
                <m:t>V</m:t>
              </m:r>
            </m:e>
            <m:sub>
              <m:r>
                <w:rPr>
                  <w:rStyle w:val="mpunct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w:rPr>
                  <w:rStyle w:val="mpunct"/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w:rPr>
                  <w:rStyle w:val="mpunct"/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mpunct"/>
              <w:rFonts w:ascii="Cambria Math" w:hAnsi="Cambria Math"/>
            </w:rPr>
            <m:t>(</m:t>
          </m:r>
          <m:r>
            <w:rPr>
              <w:rStyle w:val="mpunct"/>
              <w:rFonts w:ascii="Cambria Math" w:hAnsi="Cambria Math"/>
            </w:rPr>
            <m:t>G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):=inf⁡</m:t>
          </m:r>
          <m:d>
            <m:dPr>
              <m:begChr m:val="{"/>
              <m:endChr m:val="}"/>
              <m:ctrlPr>
                <w:rPr>
                  <w:rStyle w:val="mpunct"/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):</m:t>
              </m:r>
              <m:r>
                <m:rPr>
                  <m:nor/>
                </m:rPr>
                <w:rPr>
                  <w:rStyle w:val="mpunct"/>
                  <w:rFonts w:ascii="Cambria Math" w:hAnsi="Cambria Math" w:cs="Cambria Math"/>
                </w:rPr>
                <m:t>∃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X,γ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)∈</m:t>
              </m:r>
              <m:sSub>
                <m:sSubPr>
                  <m:ctrlPr>
                    <w:rPr>
                      <w:rStyle w:val="mpunct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mpunct"/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Style w:val="mpunct"/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s.t.X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)+</m:t>
              </m:r>
              <m:nary>
                <m:naryPr>
                  <m:limLoc m:val="subSup"/>
                  <m:grow m:val="1"/>
                  <m:ctrlPr>
                    <w:rPr>
                      <w:rStyle w:val="mpunct"/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Style w:val="mpunct"/>
                      <w:rFonts w:ascii="Cambria Math" w:hAnsi="Cambria Math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Style w:val="mpunct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mpunct"/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Style w:val="mpunct"/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Style w:val="mpunct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mpunct"/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Style w:val="mpunct"/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Style w:val="mpunct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mpunct"/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Style w:val="mpunct"/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≥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Style w:val="mpunct"/>
                  <w:rFonts w:ascii="Cambria Math" w:hAnsi="Cambria Math" w:cs="Cambria Math"/>
                </w:rPr>
                <m:t>∀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∈</m:t>
              </m:r>
              <m:r>
                <m:rPr>
                  <m:nor/>
                </m:rPr>
                <w:rPr>
                  <w:rStyle w:val="mpunct"/>
                  <w:rFonts w:ascii="Cambria Math" w:hAnsi="Cambria Math"/>
                </w:rPr>
                <m:t>P</m:t>
              </m:r>
            </m:e>
          </m:d>
        </m:oMath>
      </m:oMathPara>
    </w:p>
    <w:p w14:paraId="12CE1584" w14:textId="47F03A4E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(G)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minimal superhedging (super-replicating) cost for claim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inf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denotes the infimum over feasible strategies;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(market) price/cost functional applied to the static position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∃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“there exists”;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</m:d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strategy pair (static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, dynamic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);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admissible strategy set given static instruments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“s.t.” means “such that”;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X(S)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payoff of the static position along path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sub>
            </m:sSub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γ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u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14:ligatures w14:val="none"/>
          </w:rPr>
          <m:t>(S)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gains process from dynamic trading up 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≥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inequality;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G(S)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claim payoff along path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∀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S∈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for every path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in the superhedging set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terminal time.</w:t>
      </w:r>
    </w:p>
    <w:p w14:paraId="071C256D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The robust price is:</w:t>
      </w:r>
    </w:p>
    <w:p w14:paraId="5DD46A1D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X,P,P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(G):=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sup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X,P,P</m:t>
                  </m:r>
                </m:sub>
              </m:sSub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[G(S)]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8F7B81F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(G)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robust (worst-case) price of claim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sup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denotes supremum;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X,P,P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ranges over calibrated martingale measures supported on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[⋅]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expectation under measure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G(S)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payoff functional evaluated on canonical process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canonical price process.</w:t>
      </w:r>
    </w:p>
    <w:p w14:paraId="125F5215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Theorem (Pricing–Hedging Duality): Under suitable regularity, for bounded, uniformly continuous G:</w:t>
      </w:r>
    </w:p>
    <w:p w14:paraId="6DDCBAC8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X,P,P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(G)=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X,P,P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(G)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7F66B9D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(G)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minimal superhedging cost;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(G)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robust price;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bounded uniformly continuous contingent claim payoff; “=” denotes equality.</w:t>
      </w:r>
    </w:p>
    <w:p w14:paraId="538B41AC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This result interpolates between model-independent (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on all paths) and model-specific (unique martingale measure) settings, with the prediction set I 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quantifying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the impact of beliefs and information 2 3 4.</w:t>
      </w:r>
    </w:p>
    <w:p w14:paraId="206342F2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B0C0121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prediction set encoding beliefs/information constraints on feasible paths.</w:t>
      </w:r>
    </w:p>
    <w:p w14:paraId="3693FFD8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1.3.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on Prediction Sets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Bartl et al. (2020) extend this to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: for a prediction set Ξ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C[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0,T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], 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price for a claim ξ is:</w:t>
      </w:r>
    </w:p>
    <w:p w14:paraId="66CAC56D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Ξ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⊆C[0,T]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C04DD2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prediction set of paths;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⊆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subset (possibly equal);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C[0,T]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space of continuous functions (paths) on the interval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</m:d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terminal time.</w:t>
      </w:r>
    </w:p>
    <w:p w14:paraId="31A448D4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(ξ):=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inf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⁡{λ∈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∃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),(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)∈H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s.t.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λ+(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on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Ξ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n,t;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λ+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lim inf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)≥ξ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on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Ξ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68AC0F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(ξ)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pathwise superhedging price of claim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inf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infimum;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an initial capital scalar;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λ∈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real-valued;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∃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“there exists”;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are sequences of trading strategies;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specified admissible strategy class; “s.t.” means “such that”; </w:t>
      </w:r>
      <m:oMath>
        <m:d>
          <m:dPr>
            <m:sepChr m:val="⋅"/>
            <m:endChr m:val="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sup>
            </m:sSup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sub>
            </m:sSub>
          </m:e>
        </m:d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denotes the stochastic/pathwise integral (gains process) of strategy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against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up to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d>
          <m:dPr>
            <m:sepChr m:val="⋅"/>
            <m:endChr m:val="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sup>
            </m:sSup>
          </m:e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sub>
            </m:sSub>
          </m:e>
        </m:d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denotes the corresponding gains against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(typically a quadratic-variation-like or second-order process, depending on the framework) up to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an auxiliary path-functional process used in the extension;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≥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inequality; “on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” means pointwise for all paths in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∀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n,t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for all integers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and all times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in the trading horizon;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lim inf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n→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limit inferior;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terminal time;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contingent claim payoff functional;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prediction set.</w:t>
      </w:r>
    </w:p>
    <w:p w14:paraId="14187B7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with dual representation:</w:t>
      </w:r>
    </w:p>
    <w:p w14:paraId="0A44B077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(ξ)=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sup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∈M(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Ξ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[ξ]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83275DD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(ξ)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superhedging price;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sup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supremum;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probability measure (candidate martingale measure);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∈M(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martingale measure supported on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M(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martingale measures supported on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[ξ]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expectation of payoff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claim payoff.</w:t>
      </w:r>
    </w:p>
    <w:p w14:paraId="12E04E58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𝓜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(Ξ) is the set of martingale measures supported on Ξ 1 2 3 4.</w:t>
      </w:r>
    </w:p>
    <w:p w14:paraId="422A3C24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Ξ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952176E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M(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martingale measures supported on prediction set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Ξ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9B57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1.4. Martingale Optimal Transport and Model Uncertainty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The duality encompasses martingale optimal transport (MOT) problems, where the prediction set encodes marginal constraints (e.g., distributions of S_{T_1}, ..., S_{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T_n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}), and the robust price is the supremum over all martingale measures matching these marginals. This framework allows for model uncertainty and belief updating as new information or constraints are incorporated.</w:t>
      </w:r>
    </w:p>
    <w:p w14:paraId="4592B220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sub>
                  </m:sSub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7C85C0E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canonical price process evaluated at time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are specified maturities; the tuple denotes joint marginals/constraints.</w:t>
      </w:r>
    </w:p>
    <w:p w14:paraId="4C80442D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1.5. Computational Considerations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Discretization via Lebesgue partitions and piecewise constant path approximations.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Construction of countable classes of approximating functions.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Use of stochastic control and 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variational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methods for constrained duality.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Integration with Brownian motion-based models and Lagrange multipliers for calibration.</w:t>
      </w:r>
    </w:p>
    <w:p w14:paraId="6FC449F0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38140611">
          <v:rect id="_x0000_i1238" style="width:0;height:1.5pt" o:hralign="center" o:hrstd="t" o:hr="t" fillcolor="#a0a0a0" stroked="f"/>
        </w:pict>
      </w:r>
    </w:p>
    <w:p w14:paraId="585562FD" w14:textId="77777777" w:rsidR="00B32288" w:rsidRPr="00B32288" w:rsidRDefault="00B32288" w:rsidP="00B322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Prediction Sets, Martingale Measures, and Fuzzy Logic Sizing</w:t>
      </w:r>
    </w:p>
    <w:p w14:paraId="5EC365D7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2.1. Prediction Sets in Practice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In the context of SPY iron condor trading, the prediction set I can be constructed using: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Historical volatility regimes (e.g., IVR &gt; 50 for high-volatility).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Exclusion of paths violating liquidity or microstructure constraints.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Incorporation of institutional signals (e.g., block trades, volume spikes, regime shifts).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This enables the system to quantify the impact of assumptions and dynamically update beliefs as new data arrives.</w:t>
      </w:r>
    </w:p>
    <w:p w14:paraId="0926D275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IVR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&gt;50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16494D1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IVR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implied volatility rank;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50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threshold level; “&gt;” means greater than.</w:t>
      </w:r>
    </w:p>
    <w:p w14:paraId="7AADE63F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2.2. Martingale Measures and Calibrated Models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set of martingale measures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𝓜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^I is restricted to those supported on I, and further to those calibrating to observed option prices and Greeks. In 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system, this calibration is performed via: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Real-time alignment of spot and options chain data (lag-aware, as-of joins).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Feature engineering to ensure all model inputs are causally valid and free from lookahead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bias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™ –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CondorIntelligence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™ Input Data and Model Creation Process.pdf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walkthrough.md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66F44C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B6F9BA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p>
        </m:sSup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martingale measures supported on prediction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prediction set.</w:t>
      </w:r>
    </w:p>
    <w:p w14:paraId="4A97209F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2.3. Fuzzy Logic-Based Position Sizing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Fuzzy logic provides a measure-theoretic framework for mapping prediction set membership and regime probabilities to position sizes. The fuzzy logic engine: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• Aggregates multi-factor indicator signals (RSI, ADX, IVR, regime consensus) into a confidence score 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μ_{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fuzzy}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[0,1].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Combines this with neural confidence 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φ_{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mamba} and risk factors to compute the final trade size:</w:t>
      </w:r>
    </w:p>
    <w:p w14:paraId="22CB5B9D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fuzzy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∈[0,1]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E86666E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fuzzy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fuzzy confidence score (membership/confidence);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unit interval; “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∈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” means “is an element of”.</w:t>
      </w:r>
    </w:p>
    <w:p w14:paraId="35148658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trade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fuzzy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mamba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RiskFactor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F72A586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trade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final trade size;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maximum allowable position size;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weight on fuzzy confidence;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fuzzy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fuzzy confidence score;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weight on neural confidence;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mamba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neural confidence output from the DeepMamba2 model;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RiskFactor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multiplicative risk control term (e.g., based on drawdown, max loss, regime constraints); “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” denotes multiplication; “+” denotes addition; “=” denotes equality.</w:t>
      </w:r>
    </w:p>
    <w:p w14:paraId="1C44F16E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• Ensures that position sizing is risk-aligned, interpretable, and responsive to both model predictions and rule-based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constraints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Institutional-Grade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Trading Rules for SPY Options Model Integration.pdf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™ –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CondorIntelligence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™ Input Data and Model Creation Process.pdf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Enhancing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(Mamba-2) for Institutional-Grade SPY Options Trading.pdf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EC43B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73397D9C">
          <v:rect id="_x0000_i1239" style="width:0;height:1.5pt" o:hralign="center" o:hrstd="t" o:hr="t" fillcolor="#a0a0a0" stroked="f"/>
        </w:pict>
      </w:r>
    </w:p>
    <w:p w14:paraId="31EAD8E9" w14:textId="77777777" w:rsidR="00B32288" w:rsidRPr="00B32288" w:rsidRDefault="00B32288" w:rsidP="00B322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Computational Physics Analogies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superhedging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framework and DeepMamba2 architecture can be interpreted through the lens of computational physics: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State-Space Models (SSMs): Analogous to dynamical systems, where the latent state h(t) evolves according to ODEs:</w:t>
      </w:r>
    </w:p>
    <w:p w14:paraId="19903571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h(t)+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C5EFEE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(t)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time derivative of latent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latent state vector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state transition matrix/operator;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input matrix/operator;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input feature vector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; “=” is equality; “+” is addition.</w:t>
      </w:r>
    </w:p>
    <w:p w14:paraId="7364B482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y(t)=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h(t)+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96DD6F5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y(t)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output vector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readout matrix/operator from latent state to output;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latent state;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direct-feedthrough matrix/operator from inputs to outputs;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input vector; “=” is equality; “+” is addition.</w:t>
      </w:r>
    </w:p>
    <w:p w14:paraId="05DC7F66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• Selective Scan Mechanism: Implements an associative scan (parallel prefix sum) over the sequence, enabling linear-time inference and dynamic memory management, akin to propagating physical states through a discretized medium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scientific_spec.md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Novel Mathematical Enhancements for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Mamba.pdf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Manifold and Topological Features: Embedding high-dimensional market states onto nonlinear manifolds (e.g., torus, sphere) and analyzing curvature, persistent homology, and chaos signatures mirrors techniques in statistical mechanics and topology for characterizing phase transitions and regime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shifts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Dynamic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Market Indicators - Math and Pythonic integration for CondorIntelligence.pdf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03269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7F94B5CA">
          <v:rect id="_x0000_i1240" style="width:0;height:1.5pt" o:hralign="center" o:hrstd="t" o:hr="t" fillcolor="#a0a0a0" stroked="f"/>
        </w:pict>
      </w:r>
    </w:p>
    <w:p w14:paraId="436AD57D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Model Integration: DeepMamba2 and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System</w:t>
      </w:r>
    </w:p>
    <w:p w14:paraId="748CF340" w14:textId="77777777" w:rsidR="00B32288" w:rsidRPr="00B32288" w:rsidRDefault="00B32288" w:rsidP="00B322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Feature Engineering and Data Pipeline</w:t>
      </w:r>
    </w:p>
    <w:p w14:paraId="5E5CCC18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1.1. 58-Dimensional Institutional Feature Set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system ingests a 58-dimensional feature vector per time step, including: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Market and Options State: OHLCV, strike, call/put, delta, gamma,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vega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, theta, IV, IVR, spread ratio, time-to-expiry, SMA, PSAR, target spot, max drawdown.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Dynamic Features: Log returns, EWMA volatility, normalized returns, ATR%, curvature proxy, volatility energy, dynamic RSI, adaptive ADX, PSAR, dynamic Bollinger bands, stochastic oscillator, consolidation and breakout scores.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Primitive Features: Bandwidth, percentile, expansion rate, volume ratio, friction, execution gates, gap risk, IV confidence, multi-timeframe consensus, MACD, PSAR trend, chaos membership, fuzzy reversion.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features are precomputed and aligned using a lag-aware, as-of join pipeline, ensuring strict causality and eliminating lookahead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bias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™ –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CondorIntelligence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™ Input Data and Model Creation Process.pdf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walkthrough.md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0E99A6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1.2. Diffusion-Based Forward Predictors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Seven diffusion-based predictors model forward returns, volatility, high-low envelopes, regime shifts, liquidity shocks, curvature energy, and chaos membership, providing probabilistic forecasts for future price and volatility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trajectories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™ –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CondorIntelligence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™ Input Data and Model Creation Process.pdf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29427B" w14:textId="622A98D3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1.3. Institutional Trading Rules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Fourteen institutional-grade trading rules are implemented as primitives, including trend continuation, volatility-adaptive breakout, fuzzy reversion, multi-timeframe consensus, regime scoring, curvature and liquidity-aware reversion, spread friction gating, volatility expansion, chaos override, gap risk, position size scaling, and composite entry logic. Each rule is 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mathematically defined and integrated as a feature or constraint in the model pipeline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Institutional-Grade Trading Rules for SPY Options Model Integration.pdf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>
        <w:rPr>
          <w:rFonts w:ascii="MS Mincho" w:eastAsia="MS Mincho" w:hAnsi="MS Mincho" w:cs="MS Mincho"/>
          <w:kern w:val="0"/>
          <w14:ligatures w14:val="none"/>
        </w:rPr>
        <w:br/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™ –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CondorIntelligence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™ Input Data and Model Creation Process.pdf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845F8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070F0AC9">
          <v:rect id="_x0000_i1241" style="width:0;height:1.5pt" o:hralign="center" o:hrstd="t" o:hr="t" fillcolor="#a0a0a0" stroked="f"/>
        </w:pict>
      </w:r>
    </w:p>
    <w:p w14:paraId="1ED11A68" w14:textId="77777777" w:rsidR="00B32288" w:rsidRPr="00B32288" w:rsidRDefault="00B32288" w:rsidP="00B322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DeepMamba2 Architecture</w:t>
      </w:r>
    </w:p>
    <w:p w14:paraId="56EEBD0E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2.1. Core Structure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Input Embedding: Projects the 58-dimensional feature vector into a high-dimensional latent space (typically 512–1024 dimensions) using layer normalization and linear expansion.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Mamba-2 Backbone: A stack of 24–32 selective-scan SSM layers, each implementing input-adaptive state transitions and gating, enabling the model to learn long-range dependencies and regime transitions efficiently.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Volatility-Gated Attention: Sparse attention layers are inserted at key depths (e.g., layers 8, 16, 24), activated only during high-volatility regimes, preserving linear-time scaling while enabling global context when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needed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Enhancing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(Mamba-2) for Institutional-Grade SPY Options Trading.pdf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Novel Mathematical Enhancements for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Mamba.pdf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Integrated Imp.pdf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Regime-Routed Mixture-of-Experts (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MoE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): The final hidden state is routed through a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gating network to a set of regime-specialized expert heads (e.g., low, normal, high volatility), each outputting iron condor policy parameters.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Diffusion Forecaster: Generates multi-horizon price and volatility forecasts, informing strike selection and risk management.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Fuzzy Logic Fusion: Aggregates neural outputs, technical indicators, and rule-based signals into a final position size and trade intent, using membership functions and Q-table policy mapping.</w:t>
      </w:r>
    </w:p>
    <w:p w14:paraId="1FD7A18C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2.2. Output Heads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Iron Condor Policy Head: Predicts optimal call/put offsets, wing width, DTE, probability of profit, expected ROI, max loss, and confidence.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Regime Detector: Classifies the current volatility regime (low, normal, high).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Horizon Forecaster: Outputs multi-day price trajectories and volatility envelopes.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Fuzzy Sizing Head: Computes the final position size as a function of neural and fuzzy logic confidence.</w:t>
      </w:r>
    </w:p>
    <w:p w14:paraId="2E5D3B12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2.3. Loss Function and Training Objectives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The composite risk-aligned loss integrates:</w:t>
      </w:r>
    </w:p>
    <w:p w14:paraId="49AFF8C1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dir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Sharpe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turn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E6EE6F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total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total composite loss;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are nonnegative scalar weights;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pred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predictive-fidelity loss term;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dir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directional loss term;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Sharpe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negative 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Sharpe proxy loss term;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DD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drawdown penalty term;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turn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turnover penalty term; “=” is equality; “+” is addition.</w:t>
      </w:r>
    </w:p>
    <w:p w14:paraId="7C560EDC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pred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: Huber loss for predictive fidelity.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dir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: Directional loss (e.g., MADL).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Sharpe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: Negative Sharpe ratio proxy.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DD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: Soft drawdown penalty (log-sum-exp of drawdowns).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turn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: Turnover penalty for position changes.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loss directly aligns training with trading objectives: maximizing risk-adjusted returns, minimizing drawdown, and controlling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slippage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Enhancing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(Mamba-2) for Institutional-Grade SPY Options Trading.pdf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Novel Mathematical Enhancements for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Mamba.pdf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Integrated Imp.pdf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】【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 Brain Mathematical Ref.pdf</w:t>
      </w:r>
      <w:r w:rsidRPr="00B32288">
        <w:rPr>
          <w:rFonts w:ascii="MS Mincho" w:eastAsia="MS Mincho" w:hAnsi="MS Mincho" w:cs="MS Mincho" w:hint="eastAsia"/>
          <w:kern w:val="0"/>
          <w14:ligatures w14:val="none"/>
        </w:rPr>
        <w:t>】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4F58D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2.4. Computational Engineering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BF16/TF32 Mixed Precision: Enables high-speed, high-precision training and inference on A100/H100 GPUs.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CUDA Graphs: Sub-second inference via static CUDA graph capture.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Gradient Accumulation and Checkpointing: Memory-efficient training with large effective batch sizes.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Memory Fragmentation Control: Environment variables (e.g., PYTORCH_CUDA_ALLOC_CONF=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expandable_segments:True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) prevent OOM errors.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LazySequenceDataset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: Zero-copy, memory-efficient data loading for 10M+ row datasets.</w:t>
      </w:r>
    </w:p>
    <w:p w14:paraId="63CCDDCA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671D72FF">
          <v:rect id="_x0000_i1242" style="width:0;height:1.5pt" o:hralign="center" o:hrstd="t" o:hr="t" fillcolor="#a0a0a0" stroked="f"/>
        </w:pict>
      </w:r>
    </w:p>
    <w:p w14:paraId="456577BB" w14:textId="77777777" w:rsidR="00B32288" w:rsidRPr="00B32288" w:rsidRDefault="00B32288" w:rsidP="00B322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Mathematical Derivations: Linking Prediction Sets, Martingale Measures, and Fuzzy Sizing</w:t>
      </w:r>
    </w:p>
    <w:p w14:paraId="60AF299B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3.1. Prediction Set–Martingale Measure Correspondence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Given a prediction set I, the set of admissible martingale measures </w:t>
      </w:r>
      <w:r w:rsidRPr="00B32288">
        <w:rPr>
          <w:rFonts w:ascii="Cambria Math" w:eastAsia="Times New Roman" w:hAnsi="Cambria Math" w:cs="Cambria Math"/>
          <w:kern w:val="0"/>
          <w14:ligatures w14:val="none"/>
        </w:rPr>
        <w:t>𝓜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^I is:</w:t>
      </w:r>
    </w:p>
    <w:p w14:paraId="3ADC15FF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={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∈M: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P(I)=1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844A6B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p>
        </m:sSup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martingale measures supported on prediction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d>
          <m:dPr>
            <m:begChr m:val="{"/>
            <m:sepChr m:val="⋅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 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 </m:t>
            </m:r>
          </m:e>
        </m:d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denotes a set;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probability measure;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∈M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belongs to the baseline set of martingale measures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P(I)=1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means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assigns full probability to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; “:” means “such that”; “=” is equality.</w:t>
      </w:r>
    </w:p>
    <w:p w14:paraId="6CBB799D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For any claim G, the robust price is:</w:t>
      </w:r>
    </w:p>
    <w:p w14:paraId="6F356768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X,P,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(G)=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sup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X,P,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[G(S)]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ECCE5DB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(G)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robust price of claim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under static instruments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, superhedging set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, and prediction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sup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supremum;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probability measure;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calibrated martingale measures supported 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and consistent with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[⋅]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expectation under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G(S)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payoff evaluated on canonical process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canonical price process; “=” is equality.</w:t>
      </w:r>
    </w:p>
    <w:p w14:paraId="01F21946" w14:textId="021FC1A6" w:rsidR="00B32288" w:rsidRPr="00B32288" w:rsidRDefault="00B32288" w:rsidP="00B32288">
      <w:pPr>
        <w:rPr>
          <w:rFonts w:ascii="Cambria Math" w:hAnsi="Cambria Math" w:cs="Cambria Math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 w:cs="Cambria Math"/>
              </w:rPr>
              <m:t>X,P,</m:t>
            </m:r>
            <m:r>
              <w:rPr>
                <w:rFonts w:ascii="Cambria Math" w:hAnsi="Cambria Math" w:cs="Cambria Math"/>
              </w:rPr>
              <m:t>I</m:t>
            </m:r>
          </m:sub>
        </m:sSub>
      </m:oMath>
      <w:r w:rsidRPr="00B32288">
        <w:rPr>
          <w:rFonts w:ascii="Cambria Math" w:hAnsi="Cambria Math" w:cs="Cambria Math"/>
        </w:rPr>
        <w:t xml:space="preserve">is the set (collection) of </w:t>
      </w:r>
      <w:r w:rsidRPr="00B32288">
        <w:rPr>
          <w:rFonts w:ascii="Cambria Math" w:hAnsi="Cambria Math" w:cs="Cambria Math"/>
          <w:b/>
          <w:bCs/>
        </w:rPr>
        <w:t>calibrated martingale probability measures</w:t>
      </w:r>
      <w:r w:rsidRPr="00B32288">
        <w:rPr>
          <w:rFonts w:ascii="Cambria Math" w:hAnsi="Cambria Math" w:cs="Cambria Math"/>
        </w:rPr>
        <w:t xml:space="preserve"> used as admissible market models; </w:t>
      </w:r>
      <m:oMath>
        <m:r>
          <m:rPr>
            <m:scr m:val="script"/>
          </m:rPr>
          <w:rPr>
            <w:rFonts w:ascii="Cambria Math" w:hAnsi="Cambria Math" w:cs="Cambria Math"/>
          </w:rPr>
          <m:t>X</m:t>
        </m:r>
      </m:oMath>
      <w:r w:rsidRPr="00B32288">
        <w:rPr>
          <w:rFonts w:ascii="Cambria Math" w:hAnsi="Cambria Math" w:cs="Cambria Math"/>
        </w:rPr>
        <w:t xml:space="preserve">denotes the set of statically tradable </w:t>
      </w:r>
      <w:r>
        <w:rPr>
          <w:rFonts w:ascii="Cambria Math" w:hAnsi="Cambria Math" w:cs="Cambria Math"/>
        </w:rPr>
        <w:t>American ETF</w:t>
      </w:r>
      <w:r w:rsidRPr="00B32288">
        <w:rPr>
          <w:rFonts w:ascii="Cambria Math" w:hAnsi="Cambria Math" w:cs="Cambria Math"/>
        </w:rPr>
        <w:t xml:space="preserve"> options (the calibration instrument set); </w:t>
      </w:r>
      <m:oMath>
        <m:r>
          <m:rPr>
            <m:scr m:val="script"/>
          </m:rPr>
          <w:rPr>
            <w:rFonts w:ascii="Cambria Math" w:hAnsi="Cambria Math" w:cs="Cambria Math"/>
          </w:rPr>
          <m:t>P</m:t>
        </m:r>
      </m:oMath>
      <w:r w:rsidRPr="00B32288">
        <w:rPr>
          <w:rFonts w:ascii="Cambria Math" w:hAnsi="Cambria Math" w:cs="Cambria Math"/>
        </w:rPr>
        <w:t xml:space="preserve">denotes the superhedging path set (the set of paths on which inequalities must hold); </w:t>
      </w:r>
      <m:oMath>
        <m:r>
          <w:rPr>
            <w:rFonts w:ascii="Cambria Math" w:hAnsi="Cambria Math" w:cs="Cambria Math"/>
          </w:rPr>
          <m:t>I</m:t>
        </m:r>
      </m:oMath>
      <w:r w:rsidRPr="00B32288">
        <w:rPr>
          <w:rFonts w:ascii="Cambria Math" w:hAnsi="Cambria Math" w:cs="Cambria Math"/>
        </w:rPr>
        <w:t>denotes the prediction set (the belief/information constraint set of paths); the subscript “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/>
          <m:sub>
            <m:r>
              <m:rPr>
                <m:scr m:val="script"/>
              </m:rPr>
              <w:rPr>
                <w:rFonts w:ascii="Cambria Math" w:hAnsi="Cambria Math" w:cs="Cambria Math"/>
              </w:rPr>
              <m:t>X,P,</m:t>
            </m:r>
            <m:r>
              <w:rPr>
                <w:rFonts w:ascii="Cambria Math" w:hAnsi="Cambria Math" w:cs="Cambria Math"/>
              </w:rPr>
              <m:t>I</m:t>
            </m:r>
          </m:sub>
        </m:sSub>
      </m:oMath>
      <w:r w:rsidRPr="00B32288">
        <w:rPr>
          <w:rFonts w:ascii="Cambria Math" w:hAnsi="Cambria Math" w:cs="Cambria Math"/>
        </w:rPr>
        <w:t xml:space="preserve">” indicates that the measures in the set are constrained by </w:t>
      </w:r>
      <m:oMath>
        <m:r>
          <m:rPr>
            <m:scr m:val="script"/>
          </m:rPr>
          <w:rPr>
            <w:rFonts w:ascii="Cambria Math" w:hAnsi="Cambria Math" w:cs="Cambria Math"/>
          </w:rPr>
          <m:t>X</m:t>
        </m:r>
      </m:oMath>
      <w:r w:rsidRPr="00B32288">
        <w:rPr>
          <w:rFonts w:ascii="Cambria Math" w:hAnsi="Cambria Math" w:cs="Cambria Math"/>
        </w:rPr>
        <w:t xml:space="preserve">, </w:t>
      </w:r>
      <m:oMath>
        <m:r>
          <m:rPr>
            <m:scr m:val="script"/>
          </m:rPr>
          <w:rPr>
            <w:rFonts w:ascii="Cambria Math" w:hAnsi="Cambria Math" w:cs="Cambria Math"/>
          </w:rPr>
          <m:t>P</m:t>
        </m:r>
      </m:oMath>
      <w:r w:rsidRPr="00B32288">
        <w:rPr>
          <w:rFonts w:ascii="Cambria Math" w:hAnsi="Cambria Math" w:cs="Cambria Math"/>
        </w:rPr>
        <w:t xml:space="preserve">, and </w:t>
      </w:r>
      <m:oMath>
        <m:r>
          <w:rPr>
            <w:rFonts w:ascii="Cambria Math" w:hAnsi="Cambria Math" w:cs="Cambria Math"/>
          </w:rPr>
          <m:t>I</m:t>
        </m:r>
      </m:oMath>
      <w:r w:rsidRPr="00B32288">
        <w:rPr>
          <w:rFonts w:ascii="Cambria Math" w:hAnsi="Cambria Math" w:cs="Cambria Math"/>
        </w:rPr>
        <w:t>.</w:t>
      </w:r>
    </w:p>
    <w:p w14:paraId="459B041C" w14:textId="3FC036B2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calibrates to observed prices and is supported on I.</w:t>
      </w:r>
    </w:p>
    <w:p w14:paraId="66F98242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X,P,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0700E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X,P,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set of martingale measures calibrated to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, supported 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, and consistent with the superhedging set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9AEF3" w14:textId="5CEBED1D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3.2. Fuzzy Logic as a Measure on Prediction Sets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fuzzy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(x) denote the fuzzy membership of state x in the "safe to trade" set. The fuzzy position size is:</w:t>
      </w:r>
    </w:p>
    <w:p w14:paraId="4E7979BE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trade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fuzzy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mamba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RiskFactor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5404338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trade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position size as a function of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maximum allowed size;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fuzzy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fuzzy membership/confidence for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mamba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neural confidence for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RiskFactor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risk control multiplier for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; “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” is multiplication; “=” is equality.</w:t>
      </w:r>
    </w:p>
    <w:p w14:paraId="2D5F82FA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φ_{mamba}(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x) is the neural confidence, and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RiskFactor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(x) encodes risk controls (e.g., max loss, drawdown).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This can be interpreted as integrating over the belief-weighted prediction set:</w:t>
      </w:r>
    </w:p>
    <w:p w14:paraId="44307D2C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fuzzy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trade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trade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fuzzy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33EDE59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fuzzy</m:t>
                </m:r>
              </m:sub>
            </m:sSub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[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trade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]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an expectation of trade size under the fuzzy-weighted measure; </w:t>
      </w:r>
      <m:oMath>
        <m:nary>
          <m:naryPr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/>
          <m:e/>
        </m:nary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an integral over the prediction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trade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trade size at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fuzzy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differential of the fuzzy measure over states;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prediction set; “=” is equality.</w:t>
      </w:r>
    </w:p>
    <w:p w14:paraId="6DE4BC3E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3.3. Composite Loss and Risk Alignment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The composite loss function ensures that the model not only predicts accurately but also optimizes for risk-adjusted returns and drawdown minimization. The soft drawdown penalty is:</w:t>
      </w:r>
    </w:p>
    <w:p w14:paraId="7B169466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=τ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d>
            <m:dPr>
              <m:sepChr m:val="⁡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exp</m:t>
                  </m:r>
                </m:e>
              </m:nary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DD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τ</m:t>
                      </m:r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C481341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DD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drawdown penalty term;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τ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positive smoothing temperature parameter;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⁡(⋅)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natural logarithm;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  <m:sup/>
          <m:e/>
        </m:nary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sums over time index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exp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⁡(⋅)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exponential function;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drawdown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; “/” denotes division; “=” is equality.</w:t>
      </w:r>
    </w:p>
    <w:p w14:paraId="6417646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DD_t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is the drawdown at time t, and τ is a smoothing parameter.</w:t>
      </w:r>
    </w:p>
    <w:p w14:paraId="7072A6D1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DD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797687FF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drawdown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(peak-to-trough loss measured 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34C4D61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314152F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τ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positive smoothing parameter controlling soft-max behavior in the drawdown penalty.</w:t>
      </w:r>
    </w:p>
    <w:p w14:paraId="32178CB7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The Sharpe proxy is:</w:t>
      </w:r>
    </w:p>
    <w:p w14:paraId="4C7E25EA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Sharpe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σ+ϵ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816F41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Sharpe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negative Sharpe proxy loss;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mean of returns over an evaluation window;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standard deviation of returns over the same window;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small positive constant for numerical stability; the leading “−” indicates negation; “/” is division; “+” is addition; “=” is equality.</w:t>
      </w:r>
    </w:p>
    <w:p w14:paraId="6695E402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where μ and σ are the mean and standard deviation of returns.</w:t>
      </w:r>
    </w:p>
    <w:p w14:paraId="1F5900F0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μ</m:t>
          </m:r>
          <m:r>
            <w:rPr>
              <w:rFonts w:ascii="Cambria Math" w:eastAsia="Times New Roman" w:hAnsi="Cambria Math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3485B35B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mean (average) return over a chosen window.</w:t>
      </w:r>
    </w:p>
    <w:p w14:paraId="083E7E6E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w:lastRenderedPageBreak/>
            <m:t>σ</m:t>
          </m:r>
          <m:r>
            <w:rPr>
              <w:rFonts w:ascii="Cambria Math" w:eastAsia="Times New Roman" w:hAnsi="Cambria Math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608509AA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standard deviation (volatility) of returns over a chosen window.</w:t>
      </w:r>
    </w:p>
    <w:p w14:paraId="6AD0B870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ϵ</m:t>
          </m:r>
          <m:r>
            <w:rPr>
              <w:rFonts w:ascii="Cambria Math" w:eastAsia="Times New Roman" w:hAnsi="Cambria Math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6440A04A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small positive </w:t>
      </w:r>
      <w:proofErr w:type="gram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numerical-stability</w:t>
      </w:r>
      <w:proofErr w:type="gram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constant (e.g.,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-9</m:t>
            </m:r>
          </m:sup>
        </m:sSup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521D9D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6FD18064">
          <v:rect id="_x0000_i1243" style="width:0;height:1.5pt" o:hralign="center" o:hrstd="t" o:hr="t" fillcolor="#a0a0a0" stroked="f"/>
        </w:pict>
      </w:r>
    </w:p>
    <w:p w14:paraId="4F46C4A2" w14:textId="77777777" w:rsidR="00B32288" w:rsidRPr="00B32288" w:rsidRDefault="00B32288" w:rsidP="00B322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Python Implementation: DeepMamba2 Pipeline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Below is a template for integrating the robust pricing–hedging duality and fuzzy logic sizing into the DeepMamba2 pipeline.</w:t>
      </w:r>
    </w:p>
    <w:p w14:paraId="0ECF0913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</w:p>
    <w:p w14:paraId="379BE563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</w:p>
    <w:p w14:paraId="72BBC561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8FFFD8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CompositeCondorLoss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Module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756C0A2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lambdas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0.05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28E56A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F5CFD3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lambdas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lambdas</w:t>
      </w:r>
    </w:p>
    <w:p w14:paraId="2632B3F6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huber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HuberLoss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delta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2EA3D6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24FF673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forward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returns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weights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last_weights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0AE6BF9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1. Predictive Fidelity (Huber)</w:t>
      </w:r>
    </w:p>
    <w:p w14:paraId="1E712A44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error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</w:p>
    <w:p w14:paraId="766F4160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l_pred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where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2BF571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73A361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94F83F9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2. Sharpe Proxy</w:t>
      </w:r>
    </w:p>
    <w:p w14:paraId="0A86C918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sigma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DD44D4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l_sharpe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mu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sigma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1e-9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6A6722D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3. Soft Drawdown Penalty</w:t>
      </w:r>
    </w:p>
    <w:p w14:paraId="0A76F740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cum_ret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cumsum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F80FFE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peak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cummax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cum_ret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values</w:t>
      </w:r>
      <w:proofErr w:type="gramEnd"/>
    </w:p>
    <w:p w14:paraId="178A5087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peak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cum_ret</w:t>
      </w:r>
      <w:proofErr w:type="spellEnd"/>
    </w:p>
    <w:p w14:paraId="304008EF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l_dd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1e-9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3A39404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4. Turnover Penalty</w:t>
      </w:r>
    </w:p>
    <w:p w14:paraId="5572131A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weights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last_weights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453A863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l_pred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686F8C91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lambdas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l_sharpe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1A709622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lambdas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l_dd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6C3C48B3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lambdas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BDFDA0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5017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338C5A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Integration Steps:</w:t>
      </w:r>
    </w:p>
    <w:p w14:paraId="229C213A" w14:textId="77777777" w:rsidR="00B32288" w:rsidRPr="00B32288" w:rsidRDefault="00B32288" w:rsidP="00B322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Feature Engineering: Precompute all 58 features, including dynamic, primitive, and topological indicators, and align spot/options data using lag-aware as-of joins.</w:t>
      </w:r>
    </w:p>
    <w:p w14:paraId="5AB38150" w14:textId="77777777" w:rsidR="00B32288" w:rsidRPr="00B32288" w:rsidRDefault="00B32288" w:rsidP="00B322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Model Construction: Instantiate the DeepMamba2 model with volatility-gated attention and regime-routed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MoE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heads.</w:t>
      </w:r>
    </w:p>
    <w:p w14:paraId="3374D2B3" w14:textId="77777777" w:rsidR="00B32288" w:rsidRPr="00B32288" w:rsidRDefault="00B32288" w:rsidP="00B322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Loss Function: Replace pure Huber loss with the composite risk-aligned loss.</w:t>
      </w:r>
    </w:p>
    <w:p w14:paraId="23C3E170" w14:textId="77777777" w:rsidR="00B32288" w:rsidRPr="00B32288" w:rsidRDefault="00B32288" w:rsidP="00B322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Fuzzy Logic Sizing: Implement the fuzzy logic engine as a post-processing layer, aggregating neural and indicator signals into a final position size.</w:t>
      </w:r>
    </w:p>
    <w:p w14:paraId="2CAC594F" w14:textId="77777777" w:rsidR="00B32288" w:rsidRPr="00B32288" w:rsidRDefault="00B32288" w:rsidP="00B322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Risk Controls: Enforce drawdown, turnover, and regime constraints at both the model and execution layers.</w:t>
      </w:r>
    </w:p>
    <w:p w14:paraId="6AEAFA72" w14:textId="77777777" w:rsidR="00B32288" w:rsidRPr="00B32288" w:rsidRDefault="00B32288" w:rsidP="00B322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Production Engineering: Enable BF16/TF32 mixed precision, CUDA graphs, and memory optimizations for sub-second inference.</w:t>
      </w:r>
    </w:p>
    <w:p w14:paraId="5396E3F2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533781C6">
          <v:rect id="_x0000_i1244" style="width:0;height:1.5pt" o:hralign="center" o:hrstd="t" o:hr="t" fillcolor="#a0a0a0" stroked="f"/>
        </w:pict>
      </w:r>
    </w:p>
    <w:p w14:paraId="142D1948" w14:textId="77777777" w:rsidR="00B32288" w:rsidRDefault="00B3228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EB3908E" w14:textId="7F8B0ADF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Computational Physics and Topological Feature Engineering</w:t>
      </w:r>
    </w:p>
    <w:p w14:paraId="29BD8907" w14:textId="77777777" w:rsidR="00B32288" w:rsidRPr="00B32288" w:rsidRDefault="00B32288" w:rsidP="00B322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Manifold Geometry and Curvature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Curvature Proxy: Compute the second difference of log returns, normalized by local scale, as a proxy for local market curvature:</w:t>
      </w:r>
    </w:p>
    <w:p w14:paraId="673EAB88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EMA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64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+ϵ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A47600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curvature proxy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EMA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64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(⋅)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an exponential moving average with span/window parameter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64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hr m:val="̈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second difference (discrete second derivative) of log returns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EWMA volatility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a small positive constant for numerical stability; “/” is division; “+” is addition; “=” is equality.</w:t>
      </w:r>
    </w:p>
    <w:p w14:paraId="4F3B4A9A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r̈_t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r_t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− 2r_{t−1} + r_{t−2}, and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σ_t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is EWMA volatility.</w:t>
      </w:r>
    </w:p>
    <w:p w14:paraId="30A9C4EC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BF45671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hr m:val="̈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discrete second difference of log returns;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log return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t-1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log return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t-1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t-2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log return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t-2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constants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and signs “−” and “+” are standard arithmetic; “=” is equality.</w:t>
      </w:r>
    </w:p>
    <w:p w14:paraId="67A51C8B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444E52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EWMA volatility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6D44B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• Volatility Energy: Define volatility energy as:</w:t>
      </w:r>
    </w:p>
    <w:p w14:paraId="60DB08A7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α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DE7CC7A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volatility energy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⁡(⋅)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natural logarithm;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constant one;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a nonnegative scaling parameter;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absolute value (magnitude) of curvature proxy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curvature proxy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; “+” is addition; “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” is multiplication; “=” is equality.</w:t>
      </w:r>
    </w:p>
    <w:p w14:paraId="509C4E0B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High energy signals regime transitions and volatility spikes.</w:t>
      </w:r>
    </w:p>
    <w:p w14:paraId="176AE127" w14:textId="77777777" w:rsidR="00B32288" w:rsidRPr="00B32288" w:rsidRDefault="00B32288" w:rsidP="00B322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Persistent Homology and Topological Regimes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Persistent Homology Signature: Embed recent price or IV sequences using Takens delay maps, compute persistence lifetimes of 1D homology classes, and sum the largest J lifetimes as the regime signature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Π_t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Interpretation: High, stable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Π_t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indicates consolidation; sharp drops signal breakouts or regime shifts.</w:t>
      </w:r>
    </w:p>
    <w:p w14:paraId="7A4C50E2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J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CC7E563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J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is the number of largest persistence lifetimes selected/summed to form the signature.</w:t>
      </w:r>
    </w:p>
    <w:p w14:paraId="7BB7E765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350520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Definitions: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is the persistent-homology-based regime signature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(sum of top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J</m:t>
        </m:r>
      </m:oMath>
      <w:r w:rsidRPr="00B32288">
        <w:rPr>
          <w:rFonts w:ascii="Times New Roman" w:eastAsia="Times New Roman" w:hAnsi="Times New Roman" w:cs="Times New Roman"/>
          <w:kern w:val="0"/>
          <w14:ligatures w14:val="none"/>
        </w:rPr>
        <w:t>lifetimes).</w:t>
      </w:r>
    </w:p>
    <w:p w14:paraId="62128B24" w14:textId="77777777" w:rsidR="00B32288" w:rsidRPr="00B32288" w:rsidRDefault="00B32288" w:rsidP="00B322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Pythonic Implementation</w:t>
      </w:r>
    </w:p>
    <w:p w14:paraId="6A0ED46C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curvature_proxy_from_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span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5F81431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diff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92B774A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d2r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diff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8C2369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scale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ewm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span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span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adjust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1e-12</w:t>
      </w:r>
    </w:p>
    <w:p w14:paraId="3237183C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kappa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d2r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scale</w:t>
      </w:r>
    </w:p>
    <w:p w14:paraId="06A98C45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kappa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ewm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span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span </w:t>
      </w:r>
      <w:r>
        <w:rPr>
          <w:rFonts w:ascii="Consolas" w:hAnsi="Consolas" w:cs="Courier New"/>
          <w:color w:val="880000"/>
          <w:sz w:val="17"/>
          <w:szCs w:val="17"/>
        </w:rPr>
        <w:t>// 4), adjust=False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).mean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()</w:t>
      </w:r>
    </w:p>
    <w:p w14:paraId="3176D7B5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3E0DC6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volatility_energy_from_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curvature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kappa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2A348A8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kappa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astype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274C2B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log1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alpha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A1E01E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5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8C0331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137A761A">
          <v:rect id="_x0000_i1245" style="width:0;height:1.5pt" o:hralign="center" o:hrstd="t" o:hr="t" fillcolor="#a0a0a0" stroked="f"/>
        </w:pict>
      </w:r>
    </w:p>
    <w:p w14:paraId="40633349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Real-Time M1 Inference and Production Engineering</w:t>
      </w:r>
    </w:p>
    <w:p w14:paraId="38B3521C" w14:textId="77777777" w:rsidR="00B32288" w:rsidRPr="00B32288" w:rsidRDefault="00B32288" w:rsidP="00B322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Data Pipeline and Causality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Lag-Aware Alignment: All spot and options features are aligned using as-of joins, with IV confidence decaying exponentially with lag, ensuring no lookahead bias.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Multi-Timeframe Consensus: Signals are aggregated across 1m, 5m, and 15m bars for regime confirmation.</w:t>
      </w:r>
    </w:p>
    <w:p w14:paraId="5261C6CD" w14:textId="77777777" w:rsidR="00B32288" w:rsidRPr="00B32288" w:rsidRDefault="00B32288" w:rsidP="00B322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GPU Optimization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BF16/TF32 Mixed Precision: All model weights and activations are stored in BF16 for maximum throughput on A100/H100 GPUs.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CUDA Graphs: Inference is captured in static CUDA graphs for sub-millisecond latency.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Gradient Accumulation and Checkpointing: Enables effective batch sizes of 256+ without OOM errors.</w:t>
      </w:r>
    </w:p>
    <w:p w14:paraId="0C147D05" w14:textId="77777777" w:rsidR="00B32288" w:rsidRPr="00B32288" w:rsidRDefault="00B32288" w:rsidP="00B322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Inference Engine Template</w:t>
      </w:r>
    </w:p>
    <w:p w14:paraId="1CF934F6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CondorBrainEngine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718E9F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input_dim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lookback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240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27927A7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Model initialization and CUDA graph capture</w:t>
      </w:r>
    </w:p>
    <w:p w14:paraId="5CF30CDB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73410991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predict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forecast_days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11901FA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Real-time inference with early-exit confidence filtering</w:t>
      </w:r>
    </w:p>
    <w:p w14:paraId="576DA8DD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24F40658" w14:textId="77777777" w:rsidR="00B32288" w:rsidRDefault="00B322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447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0B77A1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118FDF">
          <v:rect id="_x0000_i1246" style="width:0;height:1.5pt" o:hralign="center" o:hrstd="t" o:hr="t" fillcolor="#a0a0a0" stroked="f"/>
        </w:pict>
      </w:r>
    </w:p>
    <w:p w14:paraId="25F956D2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, Walk-Forward Validation, and Execution</w:t>
      </w:r>
    </w:p>
    <w:p w14:paraId="69848F87" w14:textId="77777777" w:rsidR="00B32288" w:rsidRPr="00B32288" w:rsidRDefault="00B32288" w:rsidP="00B322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Walk-Forward Validation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Rolling Train/Test Splits: Sequentially train and test the model on rolling windows, mimicking real-world deployment.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Lag-Aware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: All features and targets are computed using only information available at each timestamp.</w:t>
      </w:r>
    </w:p>
    <w:p w14:paraId="1D8314B2" w14:textId="77777777" w:rsidR="00B32288" w:rsidRPr="00B32288" w:rsidRDefault="00B32288" w:rsidP="00B322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Execution and Risk Controls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Rule Engine Cross-Check: Neural predictions must satisfy execution gates (e.g., spread friction, chaos override).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Fuzzy Logic Sizing: Final position size is computed as a weighted sum of neural and fuzzy logic confidence, scaled by risk constraints.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Portfolio-Level Risk: Enforce delta, gamma,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vega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, and drawdown limits at both trade and portfolio levels.</w:t>
      </w:r>
    </w:p>
    <w:p w14:paraId="48BDC4A9" w14:textId="77777777" w:rsidR="00B32288" w:rsidRPr="00B32288" w:rsidRDefault="00B32288" w:rsidP="00B322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Performance Metrics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Sharpe Ratio: Risk-adjusted return.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Max Drawdown: Largest peak-to-trough loss.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Net Profit-to-Drawdown (NP/DD): Key institutional metric.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Turnover: Average absolute change in position size.</w:t>
      </w:r>
    </w:p>
    <w:p w14:paraId="332E52A0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28C94258">
          <v:rect id="_x0000_i1247" style="width:0;height:1.5pt" o:hralign="center" o:hrstd="t" o:hr="t" fillcolor="#a0a0a0" stroked="f"/>
        </w:pict>
      </w:r>
    </w:p>
    <w:p w14:paraId="132485B1" w14:textId="77777777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rigorously integrating robust pricing–hedging duality, path wise super hedging, and martingale measure theory with the DeepMamba2 neural architecture, the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system achieves a new standard in institutional-grade SPY iron condor trading. The fusion of prediction sets, regime-aware martingale measures, and fuzzy logic-based position sizing ensures that the system is not only robust to model uncertainty and regime shifts, but also interpretable, risk-aligned, and production-ready for real-time M1 inference.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The mathematical derivations, computational physics analogies, and Python implementation templates provided herein offer a blueprint for deploying robust, high-performance iron condor trading systems that maximize Sharpe ratio, minimize drawdown, and deliver superior NP/DD ratios under real-world market conditions.</w:t>
      </w:r>
    </w:p>
    <w:p w14:paraId="7B29884D" w14:textId="77777777" w:rsidR="00B32288" w:rsidRPr="00B32288" w:rsidRDefault="00B32288" w:rsidP="00B32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pict w14:anchorId="4C02E5C3">
          <v:rect id="_x0000_i1248" style="width:0;height:1.5pt" o:hralign="center" o:hrstd="t" o:hr="t" fillcolor="#a0a0a0" stroked="f"/>
        </w:pict>
      </w:r>
    </w:p>
    <w:p w14:paraId="6B509225" w14:textId="0D037A13" w:rsid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Key Takeaways: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Robust Pricing–Hedging Duality: Provides a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pathwise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, model-agnostic foundation for pricing and hedging under uncertainty, leveraging prediction sets and martingale measures.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DeepMamba2 Integration: Enables efficient, long-range sequence modeling, regime-aware risk controls, and interpretable multi-head outputs.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Fuzzy Logic Sizing: Aggregates multi-factor indicator and neural signals into risk-aligned, interpretable position sizes.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Computational Physics and Topology: Manifold geometry and persistent homology features 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enhance regime detection and volatility forecasting.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>• Production Engineering: BF16/TF32 mixed precision, CUDA graphs, and memory optimizations enable sub-second inference on institutional datasets.</w:t>
      </w:r>
      <w:r w:rsidRPr="00B32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proofErr w:type="spellStart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B32288">
        <w:rPr>
          <w:rFonts w:ascii="Times New Roman" w:eastAsia="Times New Roman" w:hAnsi="Times New Roman" w:cs="Times New Roman"/>
          <w:kern w:val="0"/>
          <w14:ligatures w14:val="none"/>
        </w:rPr>
        <w:t xml:space="preserve"> and Validation: Walk-forward, lag-aware validation ensures robustness and real-world performance.</w:t>
      </w:r>
    </w:p>
    <w:p w14:paraId="035EEA3D" w14:textId="4DEBD4D3" w:rsidR="00B32288" w:rsidRPr="00B32288" w:rsidRDefault="00B32288" w:rsidP="00B3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288">
        <w:rPr>
          <w:rFonts w:ascii="Times New Roman" w:eastAsia="Times New Roman" w:hAnsi="Times New Roman" w:cs="Times New Roman"/>
          <w:kern w:val="0"/>
          <w14:ligatures w14:val="none"/>
        </w:rPr>
        <w:t>This synthesis establishes a mathematically rigorous, computationally efficient, and institutionally robust framework for SPY iron condor trading, suitable for both academic scrutiny and production deployment.</w:t>
      </w:r>
    </w:p>
    <w:p w14:paraId="3D9CDBE6" w14:textId="77777777" w:rsidR="00B311B8" w:rsidRPr="00B32288" w:rsidRDefault="00B311B8" w:rsidP="00B32288"/>
    <w:sectPr w:rsidR="00B311B8" w:rsidRPr="00B3228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3287" w14:textId="77777777" w:rsidR="006E00D4" w:rsidRDefault="006E00D4" w:rsidP="00D75A02">
      <w:pPr>
        <w:spacing w:after="0" w:line="240" w:lineRule="auto"/>
      </w:pPr>
      <w:r>
        <w:separator/>
      </w:r>
    </w:p>
  </w:endnote>
  <w:endnote w:type="continuationSeparator" w:id="0">
    <w:p w14:paraId="47B638D2" w14:textId="77777777" w:rsidR="006E00D4" w:rsidRDefault="006E00D4" w:rsidP="00D75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00056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8C7CA0" w14:textId="753118AC" w:rsidR="00D75A02" w:rsidRDefault="00D75A0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22, 2026</w:t>
        </w:r>
      </w:p>
    </w:sdtContent>
  </w:sdt>
  <w:p w14:paraId="183A5E8E" w14:textId="77777777" w:rsidR="00D75A02" w:rsidRDefault="00D75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5403E" w14:textId="77777777" w:rsidR="006E00D4" w:rsidRDefault="006E00D4" w:rsidP="00D75A02">
      <w:pPr>
        <w:spacing w:after="0" w:line="240" w:lineRule="auto"/>
      </w:pPr>
      <w:r>
        <w:separator/>
      </w:r>
    </w:p>
  </w:footnote>
  <w:footnote w:type="continuationSeparator" w:id="0">
    <w:p w14:paraId="68A6265B" w14:textId="77777777" w:rsidR="006E00D4" w:rsidRDefault="006E00D4" w:rsidP="00D75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B161" w14:textId="7545F8F2" w:rsidR="00D75A02" w:rsidRDefault="00D75A02">
    <w:pPr>
      <w:pStyle w:val="Header"/>
      <w:rPr>
        <w:sz w:val="20"/>
        <w:szCs w:val="20"/>
      </w:rPr>
    </w:pPr>
    <w:r w:rsidRPr="00D75A02">
      <w:rPr>
        <w:sz w:val="20"/>
        <w:szCs w:val="20"/>
      </w:rPr>
      <w:t>© 2026 by Quantor-</w:t>
    </w:r>
    <w:proofErr w:type="spellStart"/>
    <w:r w:rsidRPr="00D75A02">
      <w:rPr>
        <w:sz w:val="20"/>
        <w:szCs w:val="20"/>
      </w:rPr>
      <w:t>MTFuzz</w:t>
    </w:r>
    <w:proofErr w:type="spellEnd"/>
    <w:r w:rsidRPr="00D75A02">
      <w:rPr>
        <w:sz w:val="20"/>
        <w:szCs w:val="20"/>
      </w:rPr>
      <w:t>™</w:t>
    </w:r>
    <w:r w:rsidRPr="00D75A02">
      <w:rPr>
        <w:sz w:val="20"/>
        <w:szCs w:val="20"/>
      </w:rPr>
      <w:tab/>
    </w:r>
    <w:r w:rsidRPr="00D75A02">
      <w:rPr>
        <w:b/>
        <w:bCs/>
        <w:color w:val="EE0000"/>
        <w:sz w:val="20"/>
        <w:szCs w:val="20"/>
      </w:rPr>
      <w:t>Confidential</w:t>
    </w:r>
    <w:r w:rsidRPr="00D75A02">
      <w:rPr>
        <w:sz w:val="20"/>
        <w:szCs w:val="20"/>
      </w:rPr>
      <w:tab/>
      <w:t>Author: Dr. T. Jerry Mahabub, Ph.D.</w:t>
    </w:r>
  </w:p>
  <w:p w14:paraId="4418F841" w14:textId="2381BC93" w:rsidR="00D75A02" w:rsidRPr="00D75A02" w:rsidRDefault="00D75A02">
    <w:pPr>
      <w:pStyle w:val="Header"/>
      <w:rPr>
        <w:sz w:val="18"/>
        <w:szCs w:val="18"/>
      </w:rPr>
    </w:pPr>
    <w:r w:rsidRPr="00D75A02">
      <w:rPr>
        <w:sz w:val="18"/>
        <w:szCs w:val="18"/>
      </w:rPr>
      <w:t>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6092"/>
    <w:multiLevelType w:val="multilevel"/>
    <w:tmpl w:val="06A40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619ED"/>
    <w:multiLevelType w:val="multilevel"/>
    <w:tmpl w:val="80A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7497C"/>
    <w:multiLevelType w:val="multilevel"/>
    <w:tmpl w:val="B71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2236"/>
    <w:multiLevelType w:val="multilevel"/>
    <w:tmpl w:val="4664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33793"/>
    <w:multiLevelType w:val="multilevel"/>
    <w:tmpl w:val="839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915E6"/>
    <w:multiLevelType w:val="multilevel"/>
    <w:tmpl w:val="8ADC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A12F1"/>
    <w:multiLevelType w:val="multilevel"/>
    <w:tmpl w:val="C97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46BFA"/>
    <w:multiLevelType w:val="multilevel"/>
    <w:tmpl w:val="2F38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E4685"/>
    <w:multiLevelType w:val="multilevel"/>
    <w:tmpl w:val="30EE86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A1DAF"/>
    <w:multiLevelType w:val="multilevel"/>
    <w:tmpl w:val="EB4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24EC7"/>
    <w:multiLevelType w:val="multilevel"/>
    <w:tmpl w:val="E3C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02961"/>
    <w:multiLevelType w:val="multilevel"/>
    <w:tmpl w:val="4A726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612F3"/>
    <w:multiLevelType w:val="multilevel"/>
    <w:tmpl w:val="34E6D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2702C"/>
    <w:multiLevelType w:val="multilevel"/>
    <w:tmpl w:val="27E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5F81"/>
    <w:multiLevelType w:val="multilevel"/>
    <w:tmpl w:val="33A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E1AAD"/>
    <w:multiLevelType w:val="multilevel"/>
    <w:tmpl w:val="16F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76333"/>
    <w:multiLevelType w:val="multilevel"/>
    <w:tmpl w:val="E7DE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48223A"/>
    <w:multiLevelType w:val="multilevel"/>
    <w:tmpl w:val="919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12960"/>
    <w:multiLevelType w:val="multilevel"/>
    <w:tmpl w:val="1526A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93216"/>
    <w:multiLevelType w:val="multilevel"/>
    <w:tmpl w:val="4C12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535CA"/>
    <w:multiLevelType w:val="multilevel"/>
    <w:tmpl w:val="AED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E12C5"/>
    <w:multiLevelType w:val="multilevel"/>
    <w:tmpl w:val="8820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C0D94"/>
    <w:multiLevelType w:val="multilevel"/>
    <w:tmpl w:val="4034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145B9F"/>
    <w:multiLevelType w:val="multilevel"/>
    <w:tmpl w:val="502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A65AC"/>
    <w:multiLevelType w:val="multilevel"/>
    <w:tmpl w:val="8914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E0749"/>
    <w:multiLevelType w:val="multilevel"/>
    <w:tmpl w:val="38D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D3C25"/>
    <w:multiLevelType w:val="multilevel"/>
    <w:tmpl w:val="4B4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A35CD"/>
    <w:multiLevelType w:val="multilevel"/>
    <w:tmpl w:val="4EC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81E16"/>
    <w:multiLevelType w:val="multilevel"/>
    <w:tmpl w:val="B49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E4D78"/>
    <w:multiLevelType w:val="multilevel"/>
    <w:tmpl w:val="567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E51FF"/>
    <w:multiLevelType w:val="multilevel"/>
    <w:tmpl w:val="C3C2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5A7F85"/>
    <w:multiLevelType w:val="multilevel"/>
    <w:tmpl w:val="DF520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71291"/>
    <w:multiLevelType w:val="multilevel"/>
    <w:tmpl w:val="F0E6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A40D7"/>
    <w:multiLevelType w:val="multilevel"/>
    <w:tmpl w:val="78BC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266160"/>
    <w:multiLevelType w:val="multilevel"/>
    <w:tmpl w:val="BE1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017783">
    <w:abstractNumId w:val="6"/>
  </w:num>
  <w:num w:numId="2" w16cid:durableId="608271097">
    <w:abstractNumId w:val="24"/>
  </w:num>
  <w:num w:numId="3" w16cid:durableId="782723760">
    <w:abstractNumId w:val="28"/>
  </w:num>
  <w:num w:numId="4" w16cid:durableId="471990291">
    <w:abstractNumId w:val="9"/>
  </w:num>
  <w:num w:numId="5" w16cid:durableId="1591113385">
    <w:abstractNumId w:val="34"/>
  </w:num>
  <w:num w:numId="6" w16cid:durableId="142234853">
    <w:abstractNumId w:val="32"/>
  </w:num>
  <w:num w:numId="7" w16cid:durableId="644705172">
    <w:abstractNumId w:val="1"/>
  </w:num>
  <w:num w:numId="8" w16cid:durableId="21522589">
    <w:abstractNumId w:val="23"/>
  </w:num>
  <w:num w:numId="9" w16cid:durableId="1595940860">
    <w:abstractNumId w:val="10"/>
  </w:num>
  <w:num w:numId="10" w16cid:durableId="2037150466">
    <w:abstractNumId w:val="17"/>
  </w:num>
  <w:num w:numId="11" w16cid:durableId="1549730622">
    <w:abstractNumId w:val="29"/>
  </w:num>
  <w:num w:numId="12" w16cid:durableId="1019043024">
    <w:abstractNumId w:val="4"/>
  </w:num>
  <w:num w:numId="13" w16cid:durableId="98568316">
    <w:abstractNumId w:val="30"/>
  </w:num>
  <w:num w:numId="14" w16cid:durableId="619410604">
    <w:abstractNumId w:val="13"/>
  </w:num>
  <w:num w:numId="15" w16cid:durableId="1272474279">
    <w:abstractNumId w:val="14"/>
  </w:num>
  <w:num w:numId="16" w16cid:durableId="2092771574">
    <w:abstractNumId w:val="20"/>
  </w:num>
  <w:num w:numId="17" w16cid:durableId="1362515899">
    <w:abstractNumId w:val="15"/>
  </w:num>
  <w:num w:numId="18" w16cid:durableId="998078660">
    <w:abstractNumId w:val="27"/>
  </w:num>
  <w:num w:numId="19" w16cid:durableId="1860773332">
    <w:abstractNumId w:val="25"/>
  </w:num>
  <w:num w:numId="20" w16cid:durableId="1801655577">
    <w:abstractNumId w:val="26"/>
  </w:num>
  <w:num w:numId="21" w16cid:durableId="510603995">
    <w:abstractNumId w:val="2"/>
  </w:num>
  <w:num w:numId="22" w16cid:durableId="565798837">
    <w:abstractNumId w:val="19"/>
  </w:num>
  <w:num w:numId="23" w16cid:durableId="889850515">
    <w:abstractNumId w:val="22"/>
  </w:num>
  <w:num w:numId="24" w16cid:durableId="359669394">
    <w:abstractNumId w:val="18"/>
  </w:num>
  <w:num w:numId="25" w16cid:durableId="1507864196">
    <w:abstractNumId w:val="11"/>
  </w:num>
  <w:num w:numId="26" w16cid:durableId="153687131">
    <w:abstractNumId w:val="7"/>
  </w:num>
  <w:num w:numId="27" w16cid:durableId="957637361">
    <w:abstractNumId w:val="0"/>
  </w:num>
  <w:num w:numId="28" w16cid:durableId="1146817751">
    <w:abstractNumId w:val="21"/>
  </w:num>
  <w:num w:numId="29" w16cid:durableId="1532913875">
    <w:abstractNumId w:val="8"/>
  </w:num>
  <w:num w:numId="30" w16cid:durableId="1838693710">
    <w:abstractNumId w:val="16"/>
  </w:num>
  <w:num w:numId="31" w16cid:durableId="974872741">
    <w:abstractNumId w:val="5"/>
  </w:num>
  <w:num w:numId="32" w16cid:durableId="1164391508">
    <w:abstractNumId w:val="12"/>
  </w:num>
  <w:num w:numId="33" w16cid:durableId="1353219931">
    <w:abstractNumId w:val="31"/>
  </w:num>
  <w:num w:numId="34" w16cid:durableId="650059196">
    <w:abstractNumId w:val="3"/>
  </w:num>
  <w:num w:numId="35" w16cid:durableId="170236446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B8"/>
    <w:rsid w:val="004F41A7"/>
    <w:rsid w:val="006E00D4"/>
    <w:rsid w:val="00B311B8"/>
    <w:rsid w:val="00B32288"/>
    <w:rsid w:val="00D7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55E"/>
  <w15:chartTrackingRefBased/>
  <w15:docId w15:val="{0D6BDD47-2D1E-41AE-9D23-7366BE21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B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32288"/>
  </w:style>
  <w:style w:type="paragraph" w:customStyle="1" w:styleId="msonormal0">
    <w:name w:val="msonormal"/>
    <w:basedOn w:val="Normal"/>
    <w:rsid w:val="00B32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2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B32288"/>
  </w:style>
  <w:style w:type="character" w:customStyle="1" w:styleId="katex">
    <w:name w:val="katex"/>
    <w:basedOn w:val="DefaultParagraphFont"/>
    <w:rsid w:val="00B32288"/>
  </w:style>
  <w:style w:type="character" w:customStyle="1" w:styleId="katex-mathml">
    <w:name w:val="katex-mathml"/>
    <w:basedOn w:val="DefaultParagraphFont"/>
    <w:rsid w:val="00B32288"/>
  </w:style>
  <w:style w:type="character" w:customStyle="1" w:styleId="katex-html">
    <w:name w:val="katex-html"/>
    <w:basedOn w:val="DefaultParagraphFont"/>
    <w:rsid w:val="00B32288"/>
  </w:style>
  <w:style w:type="character" w:customStyle="1" w:styleId="base">
    <w:name w:val="base"/>
    <w:basedOn w:val="DefaultParagraphFont"/>
    <w:rsid w:val="00B32288"/>
  </w:style>
  <w:style w:type="character" w:customStyle="1" w:styleId="strut">
    <w:name w:val="strut"/>
    <w:basedOn w:val="DefaultParagraphFont"/>
    <w:rsid w:val="00B32288"/>
  </w:style>
  <w:style w:type="character" w:customStyle="1" w:styleId="mord">
    <w:name w:val="mord"/>
    <w:basedOn w:val="DefaultParagraphFont"/>
    <w:rsid w:val="00B32288"/>
  </w:style>
  <w:style w:type="character" w:customStyle="1" w:styleId="mspace">
    <w:name w:val="mspace"/>
    <w:basedOn w:val="DefaultParagraphFont"/>
    <w:rsid w:val="00B32288"/>
  </w:style>
  <w:style w:type="character" w:customStyle="1" w:styleId="mrel">
    <w:name w:val="mrel"/>
    <w:basedOn w:val="DefaultParagraphFont"/>
    <w:rsid w:val="00B32288"/>
  </w:style>
  <w:style w:type="character" w:customStyle="1" w:styleId="msupsub">
    <w:name w:val="msupsub"/>
    <w:basedOn w:val="DefaultParagraphFont"/>
    <w:rsid w:val="00B32288"/>
  </w:style>
  <w:style w:type="character" w:customStyle="1" w:styleId="vlist-t">
    <w:name w:val="vlist-t"/>
    <w:basedOn w:val="DefaultParagraphFont"/>
    <w:rsid w:val="00B32288"/>
  </w:style>
  <w:style w:type="character" w:customStyle="1" w:styleId="vlist-r">
    <w:name w:val="vlist-r"/>
    <w:basedOn w:val="DefaultParagraphFont"/>
    <w:rsid w:val="00B32288"/>
  </w:style>
  <w:style w:type="character" w:customStyle="1" w:styleId="vlist">
    <w:name w:val="vlist"/>
    <w:basedOn w:val="DefaultParagraphFont"/>
    <w:rsid w:val="00B32288"/>
  </w:style>
  <w:style w:type="character" w:customStyle="1" w:styleId="pstrut">
    <w:name w:val="pstrut"/>
    <w:basedOn w:val="DefaultParagraphFont"/>
    <w:rsid w:val="00B32288"/>
  </w:style>
  <w:style w:type="character" w:customStyle="1" w:styleId="sizing">
    <w:name w:val="sizing"/>
    <w:basedOn w:val="DefaultParagraphFont"/>
    <w:rsid w:val="00B32288"/>
  </w:style>
  <w:style w:type="character" w:customStyle="1" w:styleId="vlist-s">
    <w:name w:val="vlist-s"/>
    <w:basedOn w:val="DefaultParagraphFont"/>
    <w:rsid w:val="00B32288"/>
  </w:style>
  <w:style w:type="character" w:customStyle="1" w:styleId="mopen">
    <w:name w:val="mopen"/>
    <w:basedOn w:val="DefaultParagraphFont"/>
    <w:rsid w:val="00B32288"/>
  </w:style>
  <w:style w:type="character" w:customStyle="1" w:styleId="mclose">
    <w:name w:val="mclose"/>
    <w:basedOn w:val="DefaultParagraphFont"/>
    <w:rsid w:val="00B32288"/>
  </w:style>
  <w:style w:type="character" w:customStyle="1" w:styleId="mop">
    <w:name w:val="mop"/>
    <w:basedOn w:val="DefaultParagraphFont"/>
    <w:rsid w:val="00B32288"/>
  </w:style>
  <w:style w:type="character" w:customStyle="1" w:styleId="minner">
    <w:name w:val="minner"/>
    <w:basedOn w:val="DefaultParagraphFont"/>
    <w:rsid w:val="00B32288"/>
  </w:style>
  <w:style w:type="character" w:customStyle="1" w:styleId="delimsizing">
    <w:name w:val="delimsizing"/>
    <w:basedOn w:val="DefaultParagraphFont"/>
    <w:rsid w:val="00B32288"/>
  </w:style>
  <w:style w:type="character" w:customStyle="1" w:styleId="mbin">
    <w:name w:val="mbin"/>
    <w:basedOn w:val="DefaultParagraphFont"/>
    <w:rsid w:val="00B32288"/>
  </w:style>
  <w:style w:type="character" w:customStyle="1" w:styleId="mpunct">
    <w:name w:val="mpunct"/>
    <w:basedOn w:val="DefaultParagraphFont"/>
    <w:rsid w:val="00B32288"/>
  </w:style>
  <w:style w:type="character" w:customStyle="1" w:styleId="mtight">
    <w:name w:val="mtight"/>
    <w:basedOn w:val="DefaultParagraphFont"/>
    <w:rsid w:val="00B32288"/>
  </w:style>
  <w:style w:type="character" w:customStyle="1" w:styleId="accent-body">
    <w:name w:val="accent-body"/>
    <w:basedOn w:val="DefaultParagraphFont"/>
    <w:rsid w:val="00B32288"/>
  </w:style>
  <w:style w:type="character" w:customStyle="1" w:styleId="mfrac">
    <w:name w:val="mfrac"/>
    <w:basedOn w:val="DefaultParagraphFont"/>
    <w:rsid w:val="00B32288"/>
  </w:style>
  <w:style w:type="character" w:customStyle="1" w:styleId="frac-line">
    <w:name w:val="frac-line"/>
    <w:basedOn w:val="DefaultParagraphFont"/>
    <w:rsid w:val="00B322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2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22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32288"/>
  </w:style>
  <w:style w:type="character" w:customStyle="1" w:styleId="hljs-title">
    <w:name w:val="hljs-title"/>
    <w:basedOn w:val="DefaultParagraphFont"/>
    <w:rsid w:val="00B32288"/>
  </w:style>
  <w:style w:type="character" w:customStyle="1" w:styleId="hljs-params">
    <w:name w:val="hljs-params"/>
    <w:basedOn w:val="DefaultParagraphFont"/>
    <w:rsid w:val="00B32288"/>
  </w:style>
  <w:style w:type="character" w:customStyle="1" w:styleId="hljs-number">
    <w:name w:val="hljs-number"/>
    <w:basedOn w:val="DefaultParagraphFont"/>
    <w:rsid w:val="00B32288"/>
  </w:style>
  <w:style w:type="character" w:customStyle="1" w:styleId="hljs-builtin">
    <w:name w:val="hljs-built_in"/>
    <w:basedOn w:val="DefaultParagraphFont"/>
    <w:rsid w:val="00B32288"/>
  </w:style>
  <w:style w:type="character" w:customStyle="1" w:styleId="hljs-variable">
    <w:name w:val="hljs-variable"/>
    <w:basedOn w:val="DefaultParagraphFont"/>
    <w:rsid w:val="00B32288"/>
  </w:style>
  <w:style w:type="character" w:customStyle="1" w:styleId="hljs-comment">
    <w:name w:val="hljs-comment"/>
    <w:basedOn w:val="DefaultParagraphFont"/>
    <w:rsid w:val="00B32288"/>
  </w:style>
  <w:style w:type="character" w:customStyle="1" w:styleId="hljs-literal">
    <w:name w:val="hljs-literal"/>
    <w:basedOn w:val="DefaultParagraphFont"/>
    <w:rsid w:val="00B32288"/>
  </w:style>
  <w:style w:type="paragraph" w:styleId="Header">
    <w:name w:val="header"/>
    <w:basedOn w:val="Normal"/>
    <w:link w:val="HeaderChar"/>
    <w:uiPriority w:val="99"/>
    <w:unhideWhenUsed/>
    <w:rsid w:val="00D75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A02"/>
  </w:style>
  <w:style w:type="paragraph" w:styleId="Footer">
    <w:name w:val="footer"/>
    <w:basedOn w:val="Normal"/>
    <w:link w:val="FooterChar"/>
    <w:uiPriority w:val="99"/>
    <w:unhideWhenUsed/>
    <w:rsid w:val="00D75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B1FF84-2B72-4808-8235-C6A379B08F35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4504</Words>
  <Characters>29141</Characters>
  <Application>Microsoft Office Word</Application>
  <DocSecurity>0</DocSecurity>
  <Lines>571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2026-01-23T07:03:00Z</dcterms:created>
  <dcterms:modified xsi:type="dcterms:W3CDTF">2026-01-23T07:47:00Z</dcterms:modified>
</cp:coreProperties>
</file>