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8475" w14:textId="77777777" w:rsidR="008B0598" w:rsidRDefault="00000000">
      <w:pPr>
        <w:pStyle w:val="Heading1"/>
      </w:pPr>
      <w:bookmarkStart w:id="0" w:name="Xbe7e07d031d520637252f5cc70b09184aa121aa"/>
      <w:r>
        <w:t>CondorIntelligence: Rapid Evolution of an Institutional-Grade Neural Options Trading System</w:t>
      </w:r>
    </w:p>
    <w:p w14:paraId="1021761E" w14:textId="77777777" w:rsidR="008B0598" w:rsidRDefault="00000000">
      <w:pPr>
        <w:pStyle w:val="FirstParagraph"/>
      </w:pPr>
      <w:r>
        <w:rPr>
          <w:b/>
          <w:bCs/>
        </w:rPr>
        <w:t>Period Covered:</w:t>
      </w:r>
      <w:r>
        <w:t xml:space="preserve"> January 6 – January 13, 2026</w:t>
      </w:r>
      <w:r>
        <w:br/>
      </w:r>
      <w:r>
        <w:rPr>
          <w:b/>
          <w:bCs/>
        </w:rPr>
        <w:t>System:</w:t>
      </w:r>
      <w:r>
        <w:t xml:space="preserve"> CondorIntelligence (Quantor‑MTFuzz / Gaussian Options Platform)</w:t>
      </w:r>
    </w:p>
    <w:p w14:paraId="3306366E" w14:textId="796B6E1F" w:rsidR="0025208F" w:rsidRPr="0025208F" w:rsidRDefault="0025208F" w:rsidP="0025208F">
      <w:pPr>
        <w:pStyle w:val="BodyText"/>
      </w:pPr>
      <w:r>
        <w:t>Author/Developer: Dr. T. Jerry Mahabub, Ph.D.</w:t>
      </w:r>
    </w:p>
    <w:p w14:paraId="6EBD08E1" w14:textId="77777777" w:rsidR="008B0598" w:rsidRDefault="00000000">
      <w:r>
        <w:pict w14:anchorId="7FCE1436">
          <v:rect id="_x0000_i1025" style="width:0;height:1.5pt" o:hralign="center" o:hrstd="t" o:hr="t"/>
        </w:pict>
      </w:r>
    </w:p>
    <w:p w14:paraId="650A917A" w14:textId="77777777" w:rsidR="008B0598" w:rsidRDefault="00000000">
      <w:pPr>
        <w:pStyle w:val="Heading2"/>
      </w:pPr>
      <w:bookmarkStart w:id="1" w:name="abstract"/>
      <w:r>
        <w:t>Abstract</w:t>
      </w:r>
    </w:p>
    <w:p w14:paraId="617BEB55" w14:textId="2D5826D4" w:rsidR="008B0598" w:rsidRDefault="00000000">
      <w:pPr>
        <w:pStyle w:val="FirstParagraph"/>
      </w:pPr>
      <w:r>
        <w:t xml:space="preserve">This paper presents </w:t>
      </w:r>
      <w:proofErr w:type="spellStart"/>
      <w:r>
        <w:rPr>
          <w:b/>
          <w:bCs/>
        </w:rPr>
        <w:t>CondorIntelligence</w:t>
      </w:r>
      <w:proofErr w:type="spellEnd"/>
      <w:r w:rsidR="0025208F">
        <w:rPr>
          <w:b/>
          <w:bCs/>
        </w:rPr>
        <w:t>™</w:t>
      </w:r>
      <w:r>
        <w:t xml:space="preserve">, an institutional-grade </w:t>
      </w:r>
      <w:r w:rsidR="0025208F">
        <w:t>advanced, computationally intensive, AI-</w:t>
      </w:r>
      <w:r>
        <w:t>neural options trading system developed as part of the Quantor-</w:t>
      </w:r>
      <w:proofErr w:type="spellStart"/>
      <w:r>
        <w:t>MTFuzz</w:t>
      </w:r>
      <w:proofErr w:type="spellEnd"/>
      <w:r w:rsidR="0025208F">
        <w:t>™</w:t>
      </w:r>
      <w:r>
        <w:t xml:space="preserve"> framework, and documents an unusually high-velocity, one-week architectural transformation (January 6–13, 2026). The intended audience is </w:t>
      </w:r>
      <w:r>
        <w:rPr>
          <w:b/>
          <w:bCs/>
        </w:rPr>
        <w:t>neural network software engineers</w:t>
      </w:r>
      <w:r w:rsidR="0025208F">
        <w:rPr>
          <w:b/>
          <w:bCs/>
        </w:rPr>
        <w:t>, sophisticated FinTech investors/treaders,</w:t>
      </w:r>
      <w:r>
        <w:rPr>
          <w:b/>
          <w:bCs/>
        </w:rPr>
        <w:t xml:space="preserve"> and quantitative system designers</w:t>
      </w:r>
      <w:r>
        <w:t xml:space="preserve"> building </w:t>
      </w:r>
      <w:r w:rsidR="0025208F">
        <w:t xml:space="preserve">/ day-trading </w:t>
      </w:r>
      <w:r>
        <w:t xml:space="preserve">automated trading systems who require a </w:t>
      </w:r>
      <w:r>
        <w:rPr>
          <w:i/>
          <w:iCs/>
        </w:rPr>
        <w:t>realistic, end-to-end benchmark</w:t>
      </w:r>
      <w:r>
        <w:t xml:space="preserve"> for evaluating trade sizing, probability of success, regime awareness, and execution robustness.</w:t>
      </w:r>
    </w:p>
    <w:p w14:paraId="69FFF8F0" w14:textId="77777777" w:rsidR="008B0598" w:rsidRDefault="00000000">
      <w:pPr>
        <w:pStyle w:val="BodyText"/>
      </w:pPr>
      <w:r>
        <w:t xml:space="preserve">Rather than focusing solely on predictive accuracy, CondorIntelligence is engineered as a </w:t>
      </w:r>
      <w:r>
        <w:rPr>
          <w:b/>
          <w:bCs/>
        </w:rPr>
        <w:t>decision-calibrated intelligence system</w:t>
      </w:r>
      <w:r>
        <w:t xml:space="preserve">: neural forecasts are explicitly constrained, validated, and transformed into executable trades through lag-aware data alignment, multi-objective learning, neural–fuzzy fusion, and institutional risk controls. The system is designed to function as a </w:t>
      </w:r>
      <w:r>
        <w:rPr>
          <w:i/>
          <w:iCs/>
        </w:rPr>
        <w:t>reference architecture</w:t>
      </w:r>
      <w:r>
        <w:t xml:space="preserve"> against which other learning-based trading systems can be compared, stress-tested, and improved.</w:t>
      </w:r>
    </w:p>
    <w:p w14:paraId="228AFA30" w14:textId="12DF8E7D" w:rsidR="0025208F" w:rsidRDefault="0025208F">
      <w:pPr>
        <w:pStyle w:val="BodyText"/>
      </w:pPr>
      <w:r>
        <w:t xml:space="preserve">Recently, it </w:t>
      </w:r>
      <w:proofErr w:type="gramStart"/>
      <w:r>
        <w:t>is</w:t>
      </w:r>
      <w:proofErr w:type="gramEnd"/>
      <w:r>
        <w:t xml:space="preserve"> starting to morph into the next-gen real-time AINN technology which is second to none on the market today.</w:t>
      </w:r>
    </w:p>
    <w:p w14:paraId="1BFDFFF5" w14:textId="77777777" w:rsidR="008B0598" w:rsidRDefault="00000000">
      <w:r>
        <w:pict w14:anchorId="1FEA5A79">
          <v:rect id="_x0000_i1026" style="width:0;height:1.5pt" o:hralign="center" o:hrstd="t" o:hr="t"/>
        </w:pict>
      </w:r>
    </w:p>
    <w:p w14:paraId="7A511BA3" w14:textId="77777777" w:rsidR="008B0598" w:rsidRDefault="00000000">
      <w:pPr>
        <w:pStyle w:val="Heading2"/>
      </w:pPr>
      <w:bookmarkStart w:id="2" w:name="introduction"/>
      <w:bookmarkEnd w:id="1"/>
      <w:r>
        <w:t>1. Introduction</w:t>
      </w:r>
    </w:p>
    <w:p w14:paraId="149E40EA" w14:textId="77777777" w:rsidR="008B0598" w:rsidRDefault="00000000">
      <w:pPr>
        <w:pStyle w:val="FirstParagraph"/>
      </w:pPr>
      <w:r>
        <w:t xml:space="preserve">Automated trading systems built on neural networks often fail not because of poor prediction accuracy, but because of </w:t>
      </w:r>
      <w:r>
        <w:rPr>
          <w:b/>
          <w:bCs/>
        </w:rPr>
        <w:t>misalignment between model outputs and real-world trading constraints</w:t>
      </w:r>
      <w:r>
        <w:t>. Engineers designing such systems must reconcile:</w:t>
      </w:r>
    </w:p>
    <w:p w14:paraId="162D1EDC" w14:textId="77777777" w:rsidR="008B0598" w:rsidRDefault="00000000">
      <w:pPr>
        <w:pStyle w:val="Compact"/>
        <w:numPr>
          <w:ilvl w:val="0"/>
          <w:numId w:val="2"/>
        </w:numPr>
      </w:pPr>
      <w:r>
        <w:t>Noisy, lagged, and asynchronous market data</w:t>
      </w:r>
    </w:p>
    <w:p w14:paraId="5C05AD32" w14:textId="77777777" w:rsidR="008B0598" w:rsidRDefault="00000000">
      <w:pPr>
        <w:pStyle w:val="Compact"/>
        <w:numPr>
          <w:ilvl w:val="0"/>
          <w:numId w:val="2"/>
        </w:numPr>
      </w:pPr>
      <w:r>
        <w:t>Non-stationary volatility regimes</w:t>
      </w:r>
    </w:p>
    <w:p w14:paraId="60D237BF" w14:textId="77777777" w:rsidR="008B0598" w:rsidRDefault="00000000">
      <w:pPr>
        <w:pStyle w:val="Compact"/>
        <w:numPr>
          <w:ilvl w:val="0"/>
          <w:numId w:val="2"/>
        </w:numPr>
      </w:pPr>
      <w:r>
        <w:t>Path-dependent risk and capital constraints</w:t>
      </w:r>
    </w:p>
    <w:p w14:paraId="7BB17964" w14:textId="77777777" w:rsidR="008B0598" w:rsidRDefault="00000000">
      <w:pPr>
        <w:pStyle w:val="Compact"/>
        <w:numPr>
          <w:ilvl w:val="0"/>
          <w:numId w:val="2"/>
        </w:numPr>
      </w:pPr>
      <w:r>
        <w:t>The gap between probabilistic forecasts and executable trades</w:t>
      </w:r>
    </w:p>
    <w:p w14:paraId="247DE7C0" w14:textId="77777777" w:rsidR="0025208F" w:rsidRDefault="00000000">
      <w:pPr>
        <w:pStyle w:val="FirstParagraph"/>
      </w:pPr>
      <w:r>
        <w:lastRenderedPageBreak/>
        <w:t>Most open-source and academic trading models address these concerns only partially, focusing on price prediction or signal generation in isolation</w:t>
      </w:r>
      <w:r w:rsidR="0025208F">
        <w:t xml:space="preserve">, focusing on a max of up to 1 million parameters in real-time for learning and validation to construct a model.  First of its kind, </w:t>
      </w:r>
      <w:proofErr w:type="spellStart"/>
      <w:r w:rsidR="0025208F">
        <w:t>ComndorIntelligence</w:t>
      </w:r>
      <w:proofErr w:type="spellEnd"/>
      <w:r w:rsidR="0025208F">
        <w:t>, learns and constructs highly advanced neural models on &gt; 200 million parameters concurrently and in real-time</w:t>
      </w:r>
      <w:r>
        <w:t xml:space="preserve">. </w:t>
      </w:r>
    </w:p>
    <w:p w14:paraId="628AFDD1" w14:textId="31CA803E" w:rsidR="008B0598" w:rsidRPr="0025208F" w:rsidRDefault="0025208F" w:rsidP="0025208F">
      <w:pPr>
        <w:pStyle w:val="FirstParagraph"/>
        <w:ind w:left="720"/>
        <w:rPr>
          <w:i/>
          <w:iCs/>
        </w:rPr>
      </w:pPr>
      <w:r>
        <w:t>“</w:t>
      </w:r>
      <w:r w:rsidR="00000000" w:rsidRPr="0025208F">
        <w:rPr>
          <w:i/>
          <w:iCs/>
        </w:rPr>
        <w:t>Quantor-</w:t>
      </w:r>
      <w:proofErr w:type="spellStart"/>
      <w:r w:rsidR="00000000" w:rsidRPr="0025208F">
        <w:rPr>
          <w:i/>
          <w:iCs/>
        </w:rPr>
        <w:t>MTFuzz</w:t>
      </w:r>
      <w:proofErr w:type="spellEnd"/>
      <w:r w:rsidR="00000000" w:rsidRPr="0025208F">
        <w:rPr>
          <w:i/>
          <w:iCs/>
        </w:rPr>
        <w:t xml:space="preserve">—and specifically its </w:t>
      </w:r>
      <w:proofErr w:type="spellStart"/>
      <w:r w:rsidR="00000000" w:rsidRPr="0025208F">
        <w:rPr>
          <w:i/>
          <w:iCs/>
        </w:rPr>
        <w:t>CondorIntelligence</w:t>
      </w:r>
      <w:proofErr w:type="spellEnd"/>
      <w:r w:rsidR="00000000" w:rsidRPr="0025208F">
        <w:rPr>
          <w:i/>
          <w:iCs/>
        </w:rPr>
        <w:t xml:space="preserve"> engine—</w:t>
      </w:r>
      <w:r w:rsidRPr="0025208F">
        <w:rPr>
          <w:i/>
          <w:iCs/>
        </w:rPr>
        <w:t>has been</w:t>
      </w:r>
      <w:r w:rsidR="00000000" w:rsidRPr="0025208F">
        <w:rPr>
          <w:i/>
          <w:iCs/>
        </w:rPr>
        <w:t xml:space="preserve"> designed to serve a different purpose: </w:t>
      </w:r>
      <w:r w:rsidR="00000000" w:rsidRPr="0025208F">
        <w:rPr>
          <w:b/>
          <w:bCs/>
          <w:i/>
          <w:iCs/>
        </w:rPr>
        <w:t>an institutional-grade benchmark system</w:t>
      </w:r>
      <w:r w:rsidR="00000000" w:rsidRPr="0025208F">
        <w:rPr>
          <w:i/>
          <w:iCs/>
        </w:rPr>
        <w:t xml:space="preserve"> that demonstrates how neural networks can be responsibly integrated into a full trading decision pipeline.</w:t>
      </w:r>
      <w:r w:rsidRPr="0025208F">
        <w:rPr>
          <w:i/>
          <w:iCs/>
        </w:rPr>
        <w:t>”</w:t>
      </w:r>
    </w:p>
    <w:p w14:paraId="09382AF2" w14:textId="77777777" w:rsidR="008B0598" w:rsidRDefault="00000000">
      <w:pPr>
        <w:pStyle w:val="BodyText"/>
      </w:pPr>
      <w:r>
        <w:t xml:space="preserve">The goal of this work is not to claim optimal performance, but to provide a </w:t>
      </w:r>
      <w:r>
        <w:rPr>
          <w:i/>
          <w:iCs/>
        </w:rPr>
        <w:t>reference implementation</w:t>
      </w:r>
      <w:r>
        <w:t xml:space="preserve"> that shows:</w:t>
      </w:r>
    </w:p>
    <w:p w14:paraId="4AD44E98" w14:textId="77777777" w:rsidR="008B0598" w:rsidRDefault="00000000">
      <w:pPr>
        <w:pStyle w:val="Compact"/>
        <w:numPr>
          <w:ilvl w:val="0"/>
          <w:numId w:val="3"/>
        </w:numPr>
      </w:pPr>
      <w:r>
        <w:t>How to structure a linear-time neural temporal backbone suitable for market data</w:t>
      </w:r>
    </w:p>
    <w:p w14:paraId="4DD7FE66" w14:textId="77777777" w:rsidR="008B0598" w:rsidRDefault="00000000">
      <w:pPr>
        <w:pStyle w:val="Compact"/>
        <w:numPr>
          <w:ilvl w:val="0"/>
          <w:numId w:val="3"/>
        </w:numPr>
      </w:pPr>
      <w:r>
        <w:t>How to jointly train policy, regime, and horizon objectives</w:t>
      </w:r>
    </w:p>
    <w:p w14:paraId="72477F72" w14:textId="0D0A0DF9" w:rsidR="008B0598" w:rsidRDefault="00000000">
      <w:pPr>
        <w:pStyle w:val="Compact"/>
        <w:numPr>
          <w:ilvl w:val="0"/>
          <w:numId w:val="3"/>
        </w:numPr>
      </w:pPr>
      <w:r>
        <w:t>How to transform neural outputs into calibrated trade size and probability of success</w:t>
      </w:r>
      <w:r w:rsidR="0025208F">
        <w:t xml:space="preserve"> predictions</w:t>
      </w:r>
    </w:p>
    <w:p w14:paraId="3BF123F0" w14:textId="77777777" w:rsidR="008B0598" w:rsidRDefault="00000000">
      <w:pPr>
        <w:pStyle w:val="Compact"/>
        <w:numPr>
          <w:ilvl w:val="0"/>
          <w:numId w:val="3"/>
        </w:numPr>
      </w:pPr>
      <w:r>
        <w:t xml:space="preserve">How to enforce causality, alignment, and risk discipline </w:t>
      </w:r>
      <w:r w:rsidRPr="0025208F">
        <w:rPr>
          <w:i/>
          <w:iCs/>
        </w:rPr>
        <w:t>end-to-end</w:t>
      </w:r>
    </w:p>
    <w:p w14:paraId="2CFC7AD7" w14:textId="517566B3" w:rsidR="008B0598" w:rsidRDefault="00000000">
      <w:pPr>
        <w:pStyle w:val="FirstParagraph"/>
      </w:pPr>
      <w:r>
        <w:t>This paper documents a concentrated one-week effort in which CondorIntelligence was elevated from a research prototype</w:t>
      </w:r>
      <w:r w:rsidR="0025208F">
        <w:t>, first developed in 2018, then shelved for &gt; 7 years,</w:t>
      </w:r>
      <w:r>
        <w:t xml:space="preserve"> into </w:t>
      </w:r>
      <w:r w:rsidR="0025208F">
        <w:t xml:space="preserve">its very recent rebirth, </w:t>
      </w:r>
      <w:r>
        <w:t xml:space="preserve">a system suitable for use as a </w:t>
      </w:r>
      <w:r>
        <w:rPr>
          <w:b/>
          <w:bCs/>
        </w:rPr>
        <w:t>comparative baseline</w:t>
      </w:r>
      <w:r>
        <w:t xml:space="preserve"> by other neural trading practitioners.</w:t>
      </w:r>
    </w:p>
    <w:p w14:paraId="6D015CF9" w14:textId="77777777" w:rsidR="008B0598" w:rsidRDefault="00000000">
      <w:r>
        <w:pict w14:anchorId="7C9D9B5C">
          <v:rect id="_x0000_i1027" style="width:0;height:1.5pt" o:hralign="center" o:hrstd="t" o:hr="t"/>
        </w:pict>
      </w:r>
    </w:p>
    <w:p w14:paraId="6858B89C" w14:textId="77777777" w:rsidR="008B0598" w:rsidRDefault="00000000">
      <w:pPr>
        <w:pStyle w:val="Heading2"/>
      </w:pPr>
      <w:bookmarkStart w:id="3" w:name="system-overview"/>
      <w:bookmarkEnd w:id="2"/>
      <w:r>
        <w:t>2. System Overview</w:t>
      </w:r>
    </w:p>
    <w:p w14:paraId="2EAF3820" w14:textId="77777777" w:rsidR="008B0598" w:rsidRDefault="00000000">
      <w:pPr>
        <w:pStyle w:val="FirstParagraph"/>
      </w:pPr>
      <w:r>
        <w:t>At a high level, CondorIntelligence consists of six tightly integrated layers:</w:t>
      </w:r>
    </w:p>
    <w:p w14:paraId="1308FC58" w14:textId="77777777" w:rsidR="008B0598" w:rsidRDefault="00000000">
      <w:pPr>
        <w:pStyle w:val="Compact"/>
        <w:numPr>
          <w:ilvl w:val="0"/>
          <w:numId w:val="4"/>
        </w:numPr>
      </w:pPr>
      <w:r>
        <w:t>Real‑time, lag‑aware data harvesting</w:t>
      </w:r>
    </w:p>
    <w:p w14:paraId="5AC571D7" w14:textId="77777777" w:rsidR="008B0598" w:rsidRDefault="00000000">
      <w:pPr>
        <w:pStyle w:val="Compact"/>
        <w:numPr>
          <w:ilvl w:val="0"/>
          <w:numId w:val="4"/>
        </w:numPr>
      </w:pPr>
      <w:r>
        <w:t>Deep Mamba‑2 neural intelligence engine</w:t>
      </w:r>
    </w:p>
    <w:p w14:paraId="63AD35F2" w14:textId="77777777" w:rsidR="008B0598" w:rsidRDefault="00000000">
      <w:pPr>
        <w:pStyle w:val="Compact"/>
        <w:numPr>
          <w:ilvl w:val="0"/>
          <w:numId w:val="4"/>
        </w:numPr>
      </w:pPr>
      <w:r>
        <w:t>Mixture‑of‑Experts regime modeling</w:t>
      </w:r>
    </w:p>
    <w:p w14:paraId="06FB73E3" w14:textId="77777777" w:rsidR="008B0598" w:rsidRDefault="00000000">
      <w:pPr>
        <w:pStyle w:val="Compact"/>
        <w:numPr>
          <w:ilvl w:val="0"/>
          <w:numId w:val="4"/>
        </w:numPr>
      </w:pPr>
      <w:r>
        <w:t>Neural‑fuzzy decision fusion</w:t>
      </w:r>
    </w:p>
    <w:p w14:paraId="77997F50" w14:textId="77777777" w:rsidR="008B0598" w:rsidRDefault="00000000">
      <w:pPr>
        <w:pStyle w:val="Compact"/>
        <w:numPr>
          <w:ilvl w:val="0"/>
          <w:numId w:val="4"/>
        </w:numPr>
      </w:pPr>
      <w:r>
        <w:t>Institutional risk and sizing</w:t>
      </w:r>
    </w:p>
    <w:p w14:paraId="56B61493" w14:textId="77777777" w:rsidR="008B0598" w:rsidRDefault="00000000">
      <w:pPr>
        <w:pStyle w:val="Compact"/>
        <w:numPr>
          <w:ilvl w:val="0"/>
          <w:numId w:val="4"/>
        </w:numPr>
      </w:pPr>
      <w:r>
        <w:t>Precision execution and post‑trade analytics</w:t>
      </w:r>
    </w:p>
    <w:p w14:paraId="224036A0" w14:textId="77777777" w:rsidR="008B0598" w:rsidRDefault="00000000">
      <w:pPr>
        <w:pStyle w:val="FirstParagraph"/>
      </w:pPr>
      <w:r>
        <w:t>Figure 1 (System Overview) provides a condensed architectural map of the complete pipeline, from CSV ingestion through live trade execution and performance attribution.</w:t>
      </w:r>
    </w:p>
    <w:p w14:paraId="147C6F32" w14:textId="77777777" w:rsidR="008B0598" w:rsidRDefault="00000000">
      <w:r>
        <w:pict w14:anchorId="455E1C98">
          <v:rect id="_x0000_i1028" style="width:0;height:1.5pt" o:hralign="center" o:hrstd="t" o:hr="t"/>
        </w:pict>
      </w:r>
    </w:p>
    <w:p w14:paraId="15CEBD04" w14:textId="2D2B317F" w:rsidR="0025208F" w:rsidRDefault="0025208F">
      <w:pPr>
        <w:pStyle w:val="Heading2"/>
      </w:pPr>
      <w:bookmarkStart w:id="4" w:name="data-engineering-and-lagaware-alignment"/>
      <w:bookmarkEnd w:id="3"/>
      <w:r>
        <w:rPr>
          <w:noProof/>
        </w:rPr>
        <w:lastRenderedPageBreak/>
        <w:drawing>
          <wp:inline distT="0" distB="0" distL="0" distR="0" wp14:anchorId="6D1694E6" wp14:editId="45AECA6C">
            <wp:extent cx="5943600" cy="8075295"/>
            <wp:effectExtent l="0" t="0" r="0" b="0"/>
            <wp:docPr id="15036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81065" name="Picture 1503681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8731" w14:textId="1FF1AEE1" w:rsidR="008B0598" w:rsidRDefault="00000000">
      <w:pPr>
        <w:pStyle w:val="Heading2"/>
      </w:pPr>
      <w:r>
        <w:lastRenderedPageBreak/>
        <w:t>3. Data Engineering and Lag‑Aware Alignment</w:t>
      </w:r>
    </w:p>
    <w:p w14:paraId="35C914DB" w14:textId="77777777" w:rsidR="008B0598" w:rsidRDefault="00000000">
      <w:pPr>
        <w:pStyle w:val="Heading3"/>
      </w:pPr>
      <w:bookmarkStart w:id="5" w:name="multitimeframe-market-ingestion"/>
      <w:r>
        <w:t>3.1 Multi‑Timeframe Market Ingestion</w:t>
      </w:r>
    </w:p>
    <w:p w14:paraId="7E31D5EB" w14:textId="77777777" w:rsidR="008B0598" w:rsidRDefault="00000000">
      <w:pPr>
        <w:pStyle w:val="FirstParagraph"/>
      </w:pPr>
      <w:r>
        <w:t>The data layer ingests synchronized spot and derivatives information across multiple granularities:</w:t>
      </w:r>
    </w:p>
    <w:p w14:paraId="58E899B2" w14:textId="77777777" w:rsidR="008B0598" w:rsidRDefault="00000000">
      <w:pPr>
        <w:pStyle w:val="Compact"/>
        <w:numPr>
          <w:ilvl w:val="0"/>
          <w:numId w:val="5"/>
        </w:numPr>
      </w:pPr>
      <w:r>
        <w:t>1‑minute, 5‑minute, and 15‑minute SPY bars</w:t>
      </w:r>
    </w:p>
    <w:p w14:paraId="6E5D2F48" w14:textId="77777777" w:rsidR="008B0598" w:rsidRDefault="00000000">
      <w:pPr>
        <w:pStyle w:val="Compact"/>
        <w:numPr>
          <w:ilvl w:val="0"/>
          <w:numId w:val="5"/>
        </w:numPr>
      </w:pPr>
      <w:r>
        <w:t>Full option chain snapshots with Greeks</w:t>
      </w:r>
    </w:p>
    <w:p w14:paraId="07EBD366" w14:textId="77777777" w:rsidR="008B0598" w:rsidRDefault="00000000">
      <w:pPr>
        <w:pStyle w:val="Compact"/>
        <w:numPr>
          <w:ilvl w:val="0"/>
          <w:numId w:val="5"/>
        </w:numPr>
      </w:pPr>
      <w:r>
        <w:t>Auxiliary volatility feeds (VIX, IV term structure, gaps)</w:t>
      </w:r>
    </w:p>
    <w:p w14:paraId="7D199571" w14:textId="77777777" w:rsidR="008B0598" w:rsidRDefault="00000000">
      <w:pPr>
        <w:pStyle w:val="FirstParagraph"/>
      </w:pPr>
      <w:r>
        <w:t xml:space="preserve">All raw data is memory‑mapped and accessed via zero‑copy tensor views, enabling </w:t>
      </w:r>
      <w:r>
        <w:rPr>
          <w:i/>
          <w:iCs/>
        </w:rPr>
        <w:t>O(1)</w:t>
      </w:r>
      <w:r>
        <w:t xml:space="preserve"> random access without CPU materialization.</w:t>
      </w:r>
    </w:p>
    <w:p w14:paraId="59870264" w14:textId="77777777" w:rsidR="008B0598" w:rsidRDefault="00000000">
      <w:pPr>
        <w:pStyle w:val="Heading3"/>
      </w:pPr>
      <w:bookmarkStart w:id="6" w:name="lagaware-options-alignment"/>
      <w:bookmarkEnd w:id="5"/>
      <w:r>
        <w:t>3.2 Lag‑Aware Options Alignment</w:t>
      </w:r>
    </w:p>
    <w:p w14:paraId="2B73975D" w14:textId="77777777" w:rsidR="008B0598" w:rsidRDefault="00000000">
      <w:pPr>
        <w:pStyle w:val="FirstParagraph"/>
      </w:pPr>
      <w:r>
        <w:t xml:space="preserve">A central innovation is the </w:t>
      </w:r>
      <w:r>
        <w:rPr>
          <w:b/>
          <w:bCs/>
        </w:rPr>
        <w:t>Lag‑Aware Timestamp Alignment Pipeline</w:t>
      </w:r>
      <w:r>
        <w:t xml:space="preserve"> (Figure 2). Rather than assuming synchronous spot and options data, the system:</w:t>
      </w:r>
    </w:p>
    <w:p w14:paraId="0C8286E2" w14:textId="77777777" w:rsidR="008B0598" w:rsidRDefault="00000000">
      <w:pPr>
        <w:pStyle w:val="Compact"/>
        <w:numPr>
          <w:ilvl w:val="0"/>
          <w:numId w:val="6"/>
        </w:numPr>
      </w:pPr>
      <w:r>
        <w:t>Detects exact vs. prior chain matches</w:t>
      </w:r>
    </w:p>
    <w:p w14:paraId="067D3325" w14:textId="77777777" w:rsidR="008B0598" w:rsidRDefault="00000000">
      <w:pPr>
        <w:pStyle w:val="Compact"/>
        <w:numPr>
          <w:ilvl w:val="0"/>
          <w:numId w:val="6"/>
        </w:numPr>
      </w:pPr>
      <w:r>
        <w:t>Computes lag in seconds</w:t>
      </w:r>
    </w:p>
    <w:p w14:paraId="0C1FB7E9" w14:textId="77777777" w:rsidR="008B0598" w:rsidRDefault="00000000">
      <w:pPr>
        <w:pStyle w:val="Compact"/>
        <w:numPr>
          <w:ilvl w:val="0"/>
          <w:numId w:val="6"/>
        </w:numPr>
      </w:pPr>
      <w:r>
        <w:t>Applies an exponential IV confidence decay</w:t>
      </w:r>
    </w:p>
    <w:p w14:paraId="37DF123A" w14:textId="77777777" w:rsidR="008B0598" w:rsidRDefault="00000000">
      <w:pPr>
        <w:pStyle w:val="Compact"/>
        <w:numPr>
          <w:ilvl w:val="0"/>
          <w:numId w:val="6"/>
        </w:numPr>
      </w:pPr>
      <w:r>
        <w:t>Enforces policy‑dependent cutoffs (decay‑only, decay‑then‑cutoff, hard cutoff)</w:t>
      </w:r>
    </w:p>
    <w:p w14:paraId="03CB17D6" w14:textId="77777777" w:rsidR="008B0598" w:rsidRDefault="00000000">
      <w:pPr>
        <w:pStyle w:val="FirstParagraph"/>
      </w:pPr>
      <w:r>
        <w:t>This mechanism eliminates look‑ahead bias while preserving usable signal in imperfect real‑world data.</w:t>
      </w:r>
    </w:p>
    <w:p w14:paraId="215E1B46" w14:textId="77777777" w:rsidR="008B0598" w:rsidRDefault="00000000">
      <w:r>
        <w:pict w14:anchorId="467BDCF1">
          <v:rect id="_x0000_i1029" style="width:0;height:1.5pt" o:hralign="center" o:hrstd="t" o:hr="t"/>
        </w:pict>
      </w:r>
    </w:p>
    <w:p w14:paraId="32491E8D" w14:textId="77777777" w:rsidR="008B0598" w:rsidRDefault="00000000">
      <w:pPr>
        <w:pStyle w:val="Heading2"/>
      </w:pPr>
      <w:bookmarkStart w:id="7" w:name="deep-mamba2-neural-engine"/>
      <w:bookmarkEnd w:id="4"/>
      <w:bookmarkEnd w:id="6"/>
      <w:r>
        <w:t>4. Deep Mamba‑2 Neural Engine</w:t>
      </w:r>
    </w:p>
    <w:p w14:paraId="3A25E40F" w14:textId="77777777" w:rsidR="008B0598" w:rsidRDefault="00000000">
      <w:pPr>
        <w:pStyle w:val="Heading3"/>
      </w:pPr>
      <w:bookmarkStart w:id="8" w:name="architectural-motivation"/>
      <w:r>
        <w:t>4.1 Architectural Motivation</w:t>
      </w:r>
    </w:p>
    <w:p w14:paraId="5AAAEF4F" w14:textId="77777777" w:rsidR="008B0598" w:rsidRDefault="00000000">
      <w:pPr>
        <w:pStyle w:val="FirstParagraph"/>
      </w:pPr>
      <w:r>
        <w:t>Mamba‑2 was selected to address three constraints simultaneously:</w:t>
      </w:r>
    </w:p>
    <w:p w14:paraId="6AAB9E10" w14:textId="77777777" w:rsidR="008B0598" w:rsidRDefault="00000000">
      <w:pPr>
        <w:pStyle w:val="Compact"/>
        <w:numPr>
          <w:ilvl w:val="0"/>
          <w:numId w:val="7"/>
        </w:numPr>
      </w:pPr>
      <w:r>
        <w:t>Linear time complexity over long horizons</w:t>
      </w:r>
    </w:p>
    <w:p w14:paraId="54DBA906" w14:textId="77777777" w:rsidR="008B0598" w:rsidRDefault="00000000">
      <w:pPr>
        <w:pStyle w:val="Compact"/>
        <w:numPr>
          <w:ilvl w:val="0"/>
          <w:numId w:val="7"/>
        </w:numPr>
      </w:pPr>
      <w:r>
        <w:t>Strong inductive bias for temporal systems</w:t>
      </w:r>
    </w:p>
    <w:p w14:paraId="09F02386" w14:textId="77777777" w:rsidR="008B0598" w:rsidRDefault="00000000">
      <w:pPr>
        <w:pStyle w:val="Compact"/>
        <w:numPr>
          <w:ilvl w:val="0"/>
          <w:numId w:val="7"/>
        </w:numPr>
      </w:pPr>
      <w:r>
        <w:t>Efficient GPU execution via fused selective scan kernels</w:t>
      </w:r>
    </w:p>
    <w:p w14:paraId="5C8F8513" w14:textId="77777777" w:rsidR="008B0598" w:rsidRDefault="00000000">
      <w:pPr>
        <w:pStyle w:val="Heading3"/>
      </w:pPr>
      <w:bookmarkStart w:id="9" w:name="core-design"/>
      <w:bookmarkEnd w:id="8"/>
      <w:r>
        <w:t>4.2 Core Design</w:t>
      </w:r>
    </w:p>
    <w:p w14:paraId="08F108FD" w14:textId="77777777" w:rsidR="008B0598" w:rsidRDefault="00000000">
      <w:pPr>
        <w:pStyle w:val="FirstParagraph"/>
      </w:pPr>
      <w:r>
        <w:t xml:space="preserve">The neural backbone consists of </w:t>
      </w:r>
      <w:r>
        <w:rPr>
          <w:b/>
          <w:bCs/>
        </w:rPr>
        <w:t>24 stacked Mamba‑2 layers</w:t>
      </w:r>
      <w:r>
        <w:t>, each implementing:</w:t>
      </w:r>
    </w:p>
    <w:p w14:paraId="21F298A5" w14:textId="77777777" w:rsidR="008B0598" w:rsidRDefault="00000000">
      <w:pPr>
        <w:pStyle w:val="Compact"/>
        <w:numPr>
          <w:ilvl w:val="0"/>
          <w:numId w:val="8"/>
        </w:numPr>
      </w:pPr>
      <w:r>
        <w:t>RMSNorm pre‑conditioning</w:t>
      </w:r>
    </w:p>
    <w:p w14:paraId="72D6B766" w14:textId="77777777" w:rsidR="008B0598" w:rsidRDefault="00000000">
      <w:pPr>
        <w:pStyle w:val="Compact"/>
        <w:numPr>
          <w:ilvl w:val="0"/>
          <w:numId w:val="8"/>
        </w:numPr>
      </w:pPr>
      <w:r>
        <w:t>Local convolutional context (Conv1D)</w:t>
      </w:r>
    </w:p>
    <w:p w14:paraId="3246AC82" w14:textId="77777777" w:rsidR="008B0598" w:rsidRDefault="00000000">
      <w:pPr>
        <w:pStyle w:val="Compact"/>
        <w:numPr>
          <w:ilvl w:val="0"/>
          <w:numId w:val="8"/>
        </w:numPr>
      </w:pPr>
      <w:r>
        <w:t>Continuous‑to‑discrete SSM dynamics via Zero‑Order Hold (ZOH)</w:t>
      </w:r>
    </w:p>
    <w:p w14:paraId="5C54B2CB" w14:textId="77777777" w:rsidR="008B0598" w:rsidRDefault="00000000">
      <w:pPr>
        <w:pStyle w:val="Compact"/>
        <w:numPr>
          <w:ilvl w:val="0"/>
          <w:numId w:val="8"/>
        </w:numPr>
      </w:pPr>
      <w:r>
        <w:t>Fused CUDA selective scan (O(N))</w:t>
      </w:r>
    </w:p>
    <w:p w14:paraId="385BFF19" w14:textId="77777777" w:rsidR="008B0598" w:rsidRDefault="00000000">
      <w:pPr>
        <w:pStyle w:val="Compact"/>
        <w:numPr>
          <w:ilvl w:val="0"/>
          <w:numId w:val="8"/>
        </w:numPr>
      </w:pPr>
      <w:r>
        <w:lastRenderedPageBreak/>
        <w:t>Multiplicative gating for non‑linear control</w:t>
      </w:r>
    </w:p>
    <w:p w14:paraId="3C562465" w14:textId="77777777" w:rsidR="008B0598" w:rsidRDefault="00000000">
      <w:pPr>
        <w:pStyle w:val="FirstParagraph"/>
      </w:pPr>
      <w:r>
        <w:t>Figure 3 (Mamba Engine Logic) illustrates the internal state evolution, gating path, and expert decoding interface.</w:t>
      </w:r>
    </w:p>
    <w:p w14:paraId="075D376B" w14:textId="5B49227C" w:rsidR="0025208F" w:rsidRDefault="0025208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" w:name="precision-and-throughput"/>
      <w:bookmarkEnd w:id="9"/>
      <w:r>
        <w:rPr>
          <w:noProof/>
        </w:rPr>
        <w:drawing>
          <wp:inline distT="0" distB="0" distL="0" distR="0" wp14:anchorId="1FBCDE51" wp14:editId="58291A06">
            <wp:extent cx="5943600" cy="5943600"/>
            <wp:effectExtent l="0" t="0" r="0" b="0"/>
            <wp:docPr id="1623814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4706" name="Picture 16238147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FBF0704" w14:textId="7667CE2B" w:rsidR="008B0598" w:rsidRDefault="00000000">
      <w:pPr>
        <w:pStyle w:val="Heading3"/>
      </w:pPr>
      <w:r>
        <w:lastRenderedPageBreak/>
        <w:t>4.3 Precision and Throughput</w:t>
      </w:r>
    </w:p>
    <w:p w14:paraId="6E7CF380" w14:textId="77777777" w:rsidR="008B0598" w:rsidRDefault="00000000">
      <w:pPr>
        <w:pStyle w:val="FirstParagraph"/>
      </w:pPr>
      <w:r>
        <w:t xml:space="preserve">Training and inference are performed in </w:t>
      </w:r>
      <w:r>
        <w:rPr>
          <w:b/>
          <w:bCs/>
        </w:rPr>
        <w:t>BF16 mixed precision</w:t>
      </w:r>
      <w:r>
        <w:t>, optimized for A100/H100 Tensor Cores. CUDA graph capture and GPU‑resident data streaming eliminate host‑device synchronization bottlenecks, resulting in a substantial increase in iterations per second.</w:t>
      </w:r>
    </w:p>
    <w:p w14:paraId="4A96678A" w14:textId="77777777" w:rsidR="008B0598" w:rsidRDefault="00000000">
      <w:r>
        <w:pict w14:anchorId="18D7EEB5">
          <v:rect id="_x0000_i1030" style="width:0;height:1.5pt" o:hralign="center" o:hrstd="t" o:hr="t"/>
        </w:pict>
      </w:r>
    </w:p>
    <w:p w14:paraId="070F04A9" w14:textId="77777777" w:rsidR="008B0598" w:rsidRDefault="00000000">
      <w:pPr>
        <w:pStyle w:val="Heading2"/>
      </w:pPr>
      <w:bookmarkStart w:id="11" w:name="Xf1c25c0ad982d0b877fe216c9d9d7d86011b9e8"/>
      <w:bookmarkEnd w:id="7"/>
      <w:bookmarkEnd w:id="10"/>
      <w:r>
        <w:t>5. Multi‑Channel Intelligence and Learning Objectives</w:t>
      </w:r>
    </w:p>
    <w:p w14:paraId="66326D9B" w14:textId="77777777" w:rsidR="008B0598" w:rsidRDefault="00000000">
      <w:pPr>
        <w:pStyle w:val="Heading3"/>
      </w:pPr>
      <w:bookmarkStart w:id="12" w:name="head-joint-output-space"/>
      <w:r>
        <w:t>5.1 23‑Head Joint Output Space</w:t>
      </w:r>
    </w:p>
    <w:p w14:paraId="37A3C593" w14:textId="77777777" w:rsidR="008B0598" w:rsidRDefault="00000000">
      <w:pPr>
        <w:pStyle w:val="FirstParagraph"/>
      </w:pPr>
      <w:r>
        <w:t>The model produces 23 coordinated outputs, grouped into three families:</w:t>
      </w:r>
    </w:p>
    <w:p w14:paraId="20DF7252" w14:textId="77777777" w:rsidR="008B059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Policy Heads (8):</w:t>
      </w:r>
      <w:r>
        <w:t xml:space="preserve"> Iron condor parameters (offsets, widths, DTE, POP, ROI)</w:t>
      </w:r>
    </w:p>
    <w:p w14:paraId="37316611" w14:textId="77777777" w:rsidR="008B059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Regime Experts (3):</w:t>
      </w:r>
      <w:r>
        <w:t xml:space="preserve"> Low, Normal, High volatility gating</w:t>
      </w:r>
    </w:p>
    <w:p w14:paraId="7D256F71" w14:textId="77777777" w:rsidR="008B059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Horizon Forecasts (12):</w:t>
      </w:r>
      <w:r>
        <w:t xml:space="preserve"> 1‑, 3‑, 5‑, and 10‑day price trajectory statistics</w:t>
      </w:r>
    </w:p>
    <w:p w14:paraId="20313704" w14:textId="77777777" w:rsidR="008B0598" w:rsidRDefault="00000000">
      <w:pPr>
        <w:pStyle w:val="FirstParagraph"/>
      </w:pPr>
      <w:r>
        <w:t>This design forces the shared latent state to encode information useful across trading, forecasting, and regime detection.</w:t>
      </w:r>
    </w:p>
    <w:p w14:paraId="1B185CC3" w14:textId="77777777" w:rsidR="008B0598" w:rsidRDefault="00000000">
      <w:pPr>
        <w:pStyle w:val="Heading3"/>
      </w:pPr>
      <w:bookmarkStart w:id="13" w:name="condorloss-multiobjective-optimization"/>
      <w:bookmarkEnd w:id="12"/>
      <w:r>
        <w:t>5.2 CondorLoss: Multi‑Objective Optimization</w:t>
      </w:r>
    </w:p>
    <w:p w14:paraId="10AB632F" w14:textId="77777777" w:rsidR="008B0598" w:rsidRDefault="00000000">
      <w:pPr>
        <w:pStyle w:val="FirstParagraph"/>
      </w:pPr>
      <w:r>
        <w:t>Training is governed by a Lagrangian composite loss combining:</w:t>
      </w:r>
    </w:p>
    <w:p w14:paraId="1A08BA59" w14:textId="77777777" w:rsidR="008B0598" w:rsidRDefault="00000000">
      <w:pPr>
        <w:pStyle w:val="Compact"/>
        <w:numPr>
          <w:ilvl w:val="0"/>
          <w:numId w:val="10"/>
        </w:numPr>
      </w:pPr>
      <w:r>
        <w:t>Huberized regression loss</w:t>
      </w:r>
    </w:p>
    <w:p w14:paraId="5BE1AB9E" w14:textId="77777777" w:rsidR="008B0598" w:rsidRDefault="00000000">
      <w:pPr>
        <w:pStyle w:val="Compact"/>
        <w:numPr>
          <w:ilvl w:val="0"/>
          <w:numId w:val="10"/>
        </w:numPr>
      </w:pPr>
      <w:r>
        <w:t>Cross‑entropy regime classification</w:t>
      </w:r>
    </w:p>
    <w:p w14:paraId="7B81AA94" w14:textId="77777777" w:rsidR="008B0598" w:rsidRDefault="00000000">
      <w:pPr>
        <w:pStyle w:val="Compact"/>
        <w:numPr>
          <w:ilvl w:val="0"/>
          <w:numId w:val="10"/>
        </w:numPr>
      </w:pPr>
      <w:r>
        <w:t>Horizon forecast MSE</w:t>
      </w:r>
    </w:p>
    <w:p w14:paraId="3879FC55" w14:textId="77777777" w:rsidR="008B0598" w:rsidRDefault="00000000">
      <w:pPr>
        <w:pStyle w:val="FirstParagraph"/>
      </w:pPr>
      <w:r>
        <w:t>Temporal cross‑validation is performed without shuffling, preserving causality.</w:t>
      </w:r>
    </w:p>
    <w:p w14:paraId="3AD2196D" w14:textId="77777777" w:rsidR="008B0598" w:rsidRDefault="00000000">
      <w:r>
        <w:pict w14:anchorId="2EED5179">
          <v:rect id="_x0000_i1031" style="width:0;height:1.5pt" o:hralign="center" o:hrstd="t" o:hr="t"/>
        </w:pict>
      </w:r>
    </w:p>
    <w:p w14:paraId="29264E8E" w14:textId="77777777" w:rsidR="008B0598" w:rsidRDefault="00000000">
      <w:pPr>
        <w:pStyle w:val="Heading2"/>
      </w:pPr>
      <w:bookmarkStart w:id="14" w:name="neuralfuzzy-fusion-and-risk-intelligence"/>
      <w:bookmarkEnd w:id="11"/>
      <w:bookmarkEnd w:id="13"/>
      <w:r>
        <w:t>6. Neural‑Fuzzy Fusion and Risk Intelligence</w:t>
      </w:r>
    </w:p>
    <w:p w14:paraId="3DA05CE7" w14:textId="77777777" w:rsidR="008B0598" w:rsidRDefault="00000000">
      <w:pPr>
        <w:pStyle w:val="FirstParagraph"/>
      </w:pPr>
      <w:r>
        <w:t xml:space="preserve">Neural outputs are passed to an </w:t>
      </w:r>
      <w:r>
        <w:rPr>
          <w:b/>
          <w:bCs/>
        </w:rPr>
        <w:t>11‑factor Fuzzy Inference System (FIS)</w:t>
      </w:r>
      <w:r>
        <w:t>, which serves as a symbolic safety and alignment layer.</w:t>
      </w:r>
    </w:p>
    <w:p w14:paraId="4C18D00D" w14:textId="77777777" w:rsidR="008B0598" w:rsidRDefault="00000000">
      <w:pPr>
        <w:pStyle w:val="BodyText"/>
      </w:pPr>
      <w:r>
        <w:t>Inputs include:</w:t>
      </w:r>
    </w:p>
    <w:p w14:paraId="6EF25D29" w14:textId="77777777" w:rsidR="008B0598" w:rsidRDefault="00000000">
      <w:pPr>
        <w:pStyle w:val="Compact"/>
        <w:numPr>
          <w:ilvl w:val="0"/>
          <w:numId w:val="11"/>
        </w:numPr>
      </w:pPr>
      <w:r>
        <w:t>Multi‑timeframe consensus</w:t>
      </w:r>
    </w:p>
    <w:p w14:paraId="62ECD0F3" w14:textId="77777777" w:rsidR="008B0598" w:rsidRDefault="00000000">
      <w:pPr>
        <w:pStyle w:val="Compact"/>
        <w:numPr>
          <w:ilvl w:val="0"/>
          <w:numId w:val="11"/>
        </w:numPr>
      </w:pPr>
      <w:r>
        <w:t>IV rank and volatility regime</w:t>
      </w:r>
    </w:p>
    <w:p w14:paraId="3218D936" w14:textId="77777777" w:rsidR="008B0598" w:rsidRDefault="00000000">
      <w:pPr>
        <w:pStyle w:val="Compact"/>
        <w:numPr>
          <w:ilvl w:val="0"/>
          <w:numId w:val="11"/>
        </w:numPr>
      </w:pPr>
      <w:r>
        <w:t>RSI, ADX, Bollinger Bands, PSAR</w:t>
      </w:r>
    </w:p>
    <w:p w14:paraId="7E51CBC6" w14:textId="77777777" w:rsidR="008B0598" w:rsidRDefault="00000000">
      <w:pPr>
        <w:pStyle w:val="Compact"/>
        <w:numPr>
          <w:ilvl w:val="0"/>
          <w:numId w:val="11"/>
        </w:numPr>
      </w:pPr>
      <w:r>
        <w:t>Volume and price‑position metrics</w:t>
      </w:r>
    </w:p>
    <w:p w14:paraId="23035EFF" w14:textId="77777777" w:rsidR="008B0598" w:rsidRDefault="00000000">
      <w:pPr>
        <w:pStyle w:val="FirstParagraph"/>
      </w:pPr>
      <w:r>
        <w:t>Membership functions convert raw signals into interpretable degrees (low / medium / high), enabling deterministic reasoning under uncertainty.</w:t>
      </w:r>
    </w:p>
    <w:p w14:paraId="53601E0C" w14:textId="77777777" w:rsidR="008B0598" w:rsidRDefault="00000000">
      <w:pPr>
        <w:pStyle w:val="BodyText"/>
      </w:pPr>
      <w:r>
        <w:lastRenderedPageBreak/>
        <w:t>Figure 4 (Fuzzy Position Sizing Pipeline) details how fuzzy confidence interacts with volatility dampening to produce a final position size.</w:t>
      </w:r>
    </w:p>
    <w:p w14:paraId="72316265" w14:textId="7B64B068" w:rsidR="0025208F" w:rsidRDefault="0025208F">
      <w:pPr>
        <w:pStyle w:val="BodyText"/>
      </w:pPr>
      <w:r>
        <w:rPr>
          <w:noProof/>
        </w:rPr>
        <w:drawing>
          <wp:inline distT="0" distB="0" distL="0" distR="0" wp14:anchorId="60D06E28" wp14:editId="357ADE4C">
            <wp:extent cx="5943600" cy="4018280"/>
            <wp:effectExtent l="0" t="0" r="0" b="0"/>
            <wp:docPr id="1209592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2903" name="Picture 12095929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A227" w14:textId="77777777" w:rsidR="008B0598" w:rsidRDefault="00000000">
      <w:r>
        <w:pict w14:anchorId="615B5FE1">
          <v:rect id="_x0000_i1032" style="width:0;height:1.5pt" o:hralign="center" o:hrstd="t" o:hr="t"/>
        </w:pict>
      </w:r>
    </w:p>
    <w:p w14:paraId="21B36FEF" w14:textId="77777777" w:rsidR="00CC7C5B" w:rsidRDefault="00CC7C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5" w:name="institutional-risk-sizing-and-execution"/>
      <w:bookmarkEnd w:id="14"/>
      <w:r>
        <w:br w:type="page"/>
      </w:r>
    </w:p>
    <w:p w14:paraId="6DF28C4E" w14:textId="12E62202" w:rsidR="008B0598" w:rsidRDefault="00000000">
      <w:pPr>
        <w:pStyle w:val="Heading2"/>
      </w:pPr>
      <w:r>
        <w:lastRenderedPageBreak/>
        <w:t>7. Institutional Risk, Sizing, and Execution</w:t>
      </w:r>
    </w:p>
    <w:p w14:paraId="0CFD79E2" w14:textId="77777777" w:rsidR="008B0598" w:rsidRDefault="00000000">
      <w:pPr>
        <w:pStyle w:val="Heading3"/>
      </w:pPr>
      <w:bookmarkStart w:id="16" w:name="dynamic-risk-allocation"/>
      <w:r>
        <w:t>7.1 Dynamic Risk Allocation</w:t>
      </w:r>
    </w:p>
    <w:p w14:paraId="73399C27" w14:textId="77777777" w:rsidR="008B0598" w:rsidRDefault="00000000">
      <w:pPr>
        <w:pStyle w:val="FirstParagraph"/>
      </w:pPr>
      <w:r>
        <w:t>Position sizing is computed as:</w:t>
      </w:r>
    </w:p>
    <w:p w14:paraId="04288832" w14:textId="77777777" w:rsidR="008B0598" w:rsidRDefault="00000000">
      <w:pPr>
        <w:pStyle w:val="Compact"/>
        <w:numPr>
          <w:ilvl w:val="0"/>
          <w:numId w:val="12"/>
        </w:numPr>
      </w:pPr>
      <w:r>
        <w:t>Fuzzy confidence score</w:t>
      </w:r>
    </w:p>
    <w:p w14:paraId="21FD9BBD" w14:textId="77777777" w:rsidR="008B0598" w:rsidRDefault="00000000">
      <w:pPr>
        <w:pStyle w:val="Compact"/>
        <w:numPr>
          <w:ilvl w:val="0"/>
          <w:numId w:val="12"/>
        </w:numPr>
      </w:pPr>
      <w:r>
        <w:t>Volatility percentile dampening</w:t>
      </w:r>
    </w:p>
    <w:p w14:paraId="194C76A2" w14:textId="77777777" w:rsidR="008B0598" w:rsidRDefault="00000000">
      <w:pPr>
        <w:pStyle w:val="Compact"/>
        <w:numPr>
          <w:ilvl w:val="0"/>
          <w:numId w:val="12"/>
        </w:numPr>
      </w:pPr>
      <w:r>
        <w:t>Risk‑budget‑constrained base quantity</w:t>
      </w:r>
    </w:p>
    <w:p w14:paraId="256FD794" w14:textId="77777777" w:rsidR="008B0598" w:rsidRDefault="00000000">
      <w:pPr>
        <w:pStyle w:val="FirstParagraph"/>
      </w:pPr>
      <w:r>
        <w:t>This ensures exposure is automatically reduced during unstable regimes while remaining aggressive when signals align.</w:t>
      </w:r>
    </w:p>
    <w:p w14:paraId="4EAE217B" w14:textId="77777777" w:rsidR="008B0598" w:rsidRDefault="00000000">
      <w:pPr>
        <w:pStyle w:val="Heading3"/>
      </w:pPr>
      <w:bookmarkStart w:id="17" w:name="precision-execution"/>
      <w:bookmarkEnd w:id="16"/>
      <w:r>
        <w:t>7.2 Precision Execution</w:t>
      </w:r>
    </w:p>
    <w:p w14:paraId="094747ED" w14:textId="77777777" w:rsidR="008B0598" w:rsidRDefault="00000000">
      <w:pPr>
        <w:pStyle w:val="FirstParagraph"/>
      </w:pPr>
      <w:r>
        <w:t>Trades are executed via a dedicated execution stack:</w:t>
      </w:r>
    </w:p>
    <w:p w14:paraId="0E9EF337" w14:textId="77777777" w:rsidR="008B0598" w:rsidRDefault="00000000">
      <w:pPr>
        <w:pStyle w:val="Compact"/>
        <w:numPr>
          <w:ilvl w:val="0"/>
          <w:numId w:val="13"/>
        </w:numPr>
      </w:pPr>
      <w:r>
        <w:t>Four‑leg iron condor selection</w:t>
      </w:r>
    </w:p>
    <w:p w14:paraId="02E54D97" w14:textId="77777777" w:rsidR="008B0598" w:rsidRDefault="00000000">
      <w:pPr>
        <w:pStyle w:val="Compact"/>
        <w:numPr>
          <w:ilvl w:val="0"/>
          <w:numId w:val="13"/>
        </w:numPr>
      </w:pPr>
      <w:r>
        <w:t>Smart order routing (TWAP / limit / market)</w:t>
      </w:r>
    </w:p>
    <w:p w14:paraId="31DE4DB5" w14:textId="77777777" w:rsidR="008B0598" w:rsidRDefault="00000000">
      <w:pPr>
        <w:pStyle w:val="Compact"/>
        <w:numPr>
          <w:ilvl w:val="0"/>
          <w:numId w:val="13"/>
        </w:numPr>
      </w:pPr>
      <w:r>
        <w:t>Broker abstraction layer (IBKR / TDA / simulator)</w:t>
      </w:r>
    </w:p>
    <w:p w14:paraId="3857E6E8" w14:textId="77777777" w:rsidR="008B0598" w:rsidRDefault="00000000">
      <w:pPr>
        <w:pStyle w:val="FirstParagraph"/>
      </w:pPr>
      <w:r>
        <w:t>Figure 5 (Institutional Execution Flow) shows the full lifecycle from intent to fill acknowledgment.</w:t>
      </w:r>
    </w:p>
    <w:p w14:paraId="1F422E12" w14:textId="77777777" w:rsidR="008B0598" w:rsidRDefault="00000000">
      <w:r>
        <w:pict w14:anchorId="097A1B2D">
          <v:rect id="_x0000_i1033" style="width:0;height:1.5pt" o:hralign="center" o:hrstd="t" o:hr="t"/>
        </w:pict>
      </w:r>
    </w:p>
    <w:p w14:paraId="48EE2F92" w14:textId="77777777" w:rsidR="008B0598" w:rsidRDefault="00000000">
      <w:pPr>
        <w:pStyle w:val="Heading2"/>
      </w:pPr>
      <w:bookmarkStart w:id="18" w:name="X0200ad66704e1e9d5d914c442826b929e6866fb"/>
      <w:bookmarkEnd w:id="15"/>
      <w:bookmarkEnd w:id="17"/>
      <w:r>
        <w:t>8. Monitoring, Visualization, and Scientific Evidence</w:t>
      </w:r>
    </w:p>
    <w:p w14:paraId="74A3D55E" w14:textId="77777777" w:rsidR="008B0598" w:rsidRDefault="00000000">
      <w:pPr>
        <w:pStyle w:val="FirstParagraph"/>
      </w:pPr>
      <w:r>
        <w:t xml:space="preserve">To ensure the system is usable as a benchmark rather than a black box, CondorIntelligence incorporates </w:t>
      </w:r>
      <w:r>
        <w:rPr>
          <w:b/>
          <w:bCs/>
        </w:rPr>
        <w:t>continuous scientific instrumentation</w:t>
      </w:r>
      <w:r>
        <w:t xml:space="preserve"> throughout training and evaluation.</w:t>
      </w:r>
    </w:p>
    <w:p w14:paraId="4C3D757A" w14:textId="77777777" w:rsidR="008B0598" w:rsidRDefault="00000000">
      <w:pPr>
        <w:pStyle w:val="BodyText"/>
      </w:pPr>
      <w:r>
        <w:t>Key monitoring components include:</w:t>
      </w:r>
    </w:p>
    <w:p w14:paraId="6CD0ACBF" w14:textId="77777777" w:rsidR="008B0598" w:rsidRDefault="00000000">
      <w:pPr>
        <w:pStyle w:val="Compact"/>
        <w:numPr>
          <w:ilvl w:val="0"/>
          <w:numId w:val="14"/>
        </w:numPr>
      </w:pPr>
      <w:r>
        <w:t>TensorBoard scalar tracking (losses, regime accuracy, horizon error)</w:t>
      </w:r>
    </w:p>
    <w:p w14:paraId="1C801D04" w14:textId="77777777" w:rsidR="008B0598" w:rsidRDefault="00000000">
      <w:pPr>
        <w:pStyle w:val="Compact"/>
        <w:numPr>
          <w:ilvl w:val="0"/>
          <w:numId w:val="14"/>
        </w:numPr>
      </w:pPr>
      <w:r>
        <w:t>Parameter and activation distribution logging</w:t>
      </w:r>
    </w:p>
    <w:p w14:paraId="79E5DF37" w14:textId="77777777" w:rsidR="008B0598" w:rsidRDefault="00000000">
      <w:pPr>
        <w:pStyle w:val="Compact"/>
        <w:numPr>
          <w:ilvl w:val="0"/>
          <w:numId w:val="14"/>
        </w:numPr>
      </w:pPr>
      <w:r>
        <w:t>Intra-epoch visualizations for convergence diagnostics</w:t>
      </w:r>
    </w:p>
    <w:p w14:paraId="02B14D1A" w14:textId="77777777" w:rsidR="008B0598" w:rsidRDefault="00000000">
      <w:pPr>
        <w:pStyle w:val="Compact"/>
        <w:numPr>
          <w:ilvl w:val="0"/>
          <w:numId w:val="14"/>
        </w:numPr>
      </w:pPr>
      <w:r>
        <w:t>Horizon trajectory plots with mean and variance envelopes</w:t>
      </w:r>
    </w:p>
    <w:p w14:paraId="66E78555" w14:textId="77777777" w:rsidR="008B0598" w:rsidRDefault="00000000">
      <w:pPr>
        <w:pStyle w:val="Compact"/>
        <w:numPr>
          <w:ilvl w:val="0"/>
          <w:numId w:val="14"/>
        </w:numPr>
      </w:pPr>
      <w:r>
        <w:t>Automatic snapshotting of model state and predictions</w:t>
      </w:r>
    </w:p>
    <w:p w14:paraId="5AF2F222" w14:textId="77777777" w:rsidR="008B0598" w:rsidRDefault="00000000">
      <w:pPr>
        <w:pStyle w:val="FirstParagraph"/>
      </w:pPr>
      <w:r>
        <w:rPr>
          <w:b/>
          <w:bCs/>
        </w:rPr>
        <w:t>Figure A (Optimization &amp; Monitoring Pipeline)</w:t>
      </w:r>
      <w:r>
        <w:t xml:space="preserve"> illustrates how training signals, validation metrics, and visual artifacts are captured synchronously. This design allows engineers to audit not just final performance, but </w:t>
      </w:r>
      <w:r>
        <w:rPr>
          <w:i/>
          <w:iCs/>
        </w:rPr>
        <w:t>how</w:t>
      </w:r>
      <w:r>
        <w:t xml:space="preserve"> and </w:t>
      </w:r>
      <w:r>
        <w:rPr>
          <w:i/>
          <w:iCs/>
        </w:rPr>
        <w:t>why</w:t>
      </w:r>
      <w:r>
        <w:t xml:space="preserve"> a model converges.</w:t>
      </w:r>
    </w:p>
    <w:p w14:paraId="353FF48B" w14:textId="77777777" w:rsidR="008B0598" w:rsidRDefault="00000000">
      <w:pPr>
        <w:pStyle w:val="BodyText"/>
      </w:pPr>
      <w:r>
        <w:t>Loss convergence below 0.4 on A100-class hardware was achieved with stable gradients and consistent regime separation, providing empirical evidence that the architecture trains reliably under realistic loads.</w:t>
      </w:r>
    </w:p>
    <w:p w14:paraId="71954B70" w14:textId="77777777" w:rsidR="008B0598" w:rsidRDefault="00000000">
      <w:r>
        <w:lastRenderedPageBreak/>
        <w:pict w14:anchorId="2C71380F">
          <v:rect id="_x0000_i1034" style="width:0;height:1.5pt" o:hralign="center" o:hrstd="t" o:hr="t"/>
        </w:pict>
      </w:r>
    </w:p>
    <w:p w14:paraId="077C0AD1" w14:textId="77777777" w:rsidR="008B0598" w:rsidRDefault="00000000">
      <w:pPr>
        <w:pStyle w:val="Heading2"/>
      </w:pPr>
      <w:bookmarkStart w:id="19" w:name="Xddc7e80e9dcfdbdff270509e2a18ca630682666"/>
      <w:bookmarkEnd w:id="18"/>
      <w:r>
        <w:t>9. Benchmark Usage Guide for Trading System Engineers</w:t>
      </w:r>
    </w:p>
    <w:p w14:paraId="3CB7A29B" w14:textId="77777777" w:rsidR="008B0598" w:rsidRDefault="00000000">
      <w:pPr>
        <w:pStyle w:val="FirstParagraph"/>
      </w:pPr>
      <w:r>
        <w:t xml:space="preserve">This section describes how CondorIntelligence should be used as a </w:t>
      </w:r>
      <w:r>
        <w:rPr>
          <w:b/>
          <w:bCs/>
        </w:rPr>
        <w:t>comparative benchmark</w:t>
      </w:r>
      <w:r>
        <w:t xml:space="preserve"> by engineers building automated trading systems.</w:t>
      </w:r>
    </w:p>
    <w:p w14:paraId="6BE5F45D" w14:textId="77777777" w:rsidR="008B0598" w:rsidRDefault="00000000">
      <w:pPr>
        <w:pStyle w:val="Heading3"/>
      </w:pPr>
      <w:bookmarkStart w:id="20" w:name="what-to-benchmark-against"/>
      <w:r>
        <w:t>9.1 What to Benchmark Against</w:t>
      </w:r>
    </w:p>
    <w:p w14:paraId="6FDC8EBD" w14:textId="77777777" w:rsidR="008B0598" w:rsidRDefault="00000000">
      <w:pPr>
        <w:pStyle w:val="FirstParagraph"/>
      </w:pPr>
      <w:r>
        <w:t>CondorIntelligence is explicitly designed to answer questions that many learning-based trading systems leave implicit. Engineers can compare their own systems against CondorIntelligence along the following axes:</w:t>
      </w:r>
    </w:p>
    <w:p w14:paraId="7B5CEBB5" w14:textId="77777777" w:rsidR="008B0598" w:rsidRDefault="00000000">
      <w:pPr>
        <w:numPr>
          <w:ilvl w:val="0"/>
          <w:numId w:val="15"/>
        </w:numPr>
      </w:pPr>
      <w:r>
        <w:rPr>
          <w:b/>
          <w:bCs/>
        </w:rPr>
        <w:t>Trade Probability Calibration</w:t>
      </w:r>
      <w:r>
        <w:br/>
        <w:t>Compare how model confidence translates into realized win rates. CondorIntelligence exposes this mapping explicitly via fuzzy confidence, volatility dampening, and final sizing.</w:t>
      </w:r>
    </w:p>
    <w:p w14:paraId="36CB731E" w14:textId="77777777" w:rsidR="008B0598" w:rsidRDefault="00000000">
      <w:pPr>
        <w:numPr>
          <w:ilvl w:val="0"/>
          <w:numId w:val="15"/>
        </w:numPr>
      </w:pPr>
      <w:r>
        <w:rPr>
          <w:b/>
          <w:bCs/>
        </w:rPr>
        <w:t>Position Sizing Stability</w:t>
      </w:r>
      <w:r>
        <w:br/>
        <w:t>Measure variance in position size across regimes. Figure B (Fuzzy Position Sizing Pipeline) shows how confidence and volatility interact to prevent overexposure.</w:t>
      </w:r>
    </w:p>
    <w:p w14:paraId="360C232F" w14:textId="2B7BB4ED" w:rsidR="008B0598" w:rsidRDefault="00000000">
      <w:pPr>
        <w:numPr>
          <w:ilvl w:val="0"/>
          <w:numId w:val="15"/>
        </w:numPr>
      </w:pPr>
      <w:r>
        <w:rPr>
          <w:b/>
          <w:bCs/>
        </w:rPr>
        <w:t>Regime Awareness</w:t>
      </w:r>
      <w:r>
        <w:br/>
        <w:t>Evaluate whether regime classification meaningfully alters policy behavior. Figure C (Multi-Channel Intelligence Flow</w:t>
      </w:r>
      <w:r w:rsidR="00CC7C5B">
        <w:t xml:space="preserve"> – attached)</w:t>
      </w:r>
      <w:r>
        <w:t>) demonstrates how regime experts gate downstream decisions.</w:t>
      </w:r>
    </w:p>
    <w:p w14:paraId="0AAEA163" w14:textId="77777777" w:rsidR="008B0598" w:rsidRDefault="00000000">
      <w:pPr>
        <w:numPr>
          <w:ilvl w:val="0"/>
          <w:numId w:val="15"/>
        </w:numPr>
      </w:pPr>
      <w:r>
        <w:rPr>
          <w:b/>
          <w:bCs/>
        </w:rPr>
        <w:t>Lag Robustness</w:t>
      </w:r>
      <w:r>
        <w:br/>
        <w:t>Stress-test alignment assumptions using delayed or stale options data. Figure D (Lag-Aware Timestamp Alignment Pipeline) provides a reference implementation for avoiding look-ahead bias.</w:t>
      </w:r>
    </w:p>
    <w:p w14:paraId="6872083D" w14:textId="01790BFA" w:rsidR="008B0598" w:rsidRDefault="00000000">
      <w:pPr>
        <w:numPr>
          <w:ilvl w:val="0"/>
          <w:numId w:val="15"/>
        </w:numPr>
      </w:pPr>
      <w:r>
        <w:rPr>
          <w:b/>
          <w:bCs/>
        </w:rPr>
        <w:t>End-to-End Causality</w:t>
      </w:r>
      <w:r>
        <w:br/>
        <w:t>Confirm that no future information leaks into decisions. The data pipeline (Figure E: Detailed Data Pipeline</w:t>
      </w:r>
      <w:r w:rsidR="00CC7C5B">
        <w:t xml:space="preserve"> – attached)</w:t>
      </w:r>
      <w:r>
        <w:t>) is intentionally causal and auditable.</w:t>
      </w:r>
    </w:p>
    <w:p w14:paraId="79B2EB9E" w14:textId="77777777" w:rsidR="008B0598" w:rsidRDefault="00000000">
      <w:pPr>
        <w:pStyle w:val="Heading3"/>
      </w:pPr>
      <w:bookmarkStart w:id="21" w:name="how-to-run-comparative-experiments"/>
      <w:bookmarkEnd w:id="20"/>
      <w:r>
        <w:t>9.2 How to Run Comparative Experiments</w:t>
      </w:r>
    </w:p>
    <w:p w14:paraId="6005F5F9" w14:textId="77777777" w:rsidR="008B0598" w:rsidRDefault="00000000">
      <w:pPr>
        <w:pStyle w:val="FirstParagraph"/>
      </w:pPr>
      <w:r>
        <w:t>A recommended benchmarking protocol is:</w:t>
      </w:r>
    </w:p>
    <w:p w14:paraId="5FBA28BF" w14:textId="77777777" w:rsidR="008B0598" w:rsidRDefault="00000000">
      <w:pPr>
        <w:pStyle w:val="Compact"/>
        <w:numPr>
          <w:ilvl w:val="0"/>
          <w:numId w:val="16"/>
        </w:numPr>
      </w:pPr>
      <w:r>
        <w:t>Feed identical MarketSnapshot streams into both systems</w:t>
      </w:r>
    </w:p>
    <w:p w14:paraId="03BA18AF" w14:textId="77777777" w:rsidR="008B0598" w:rsidRDefault="00000000">
      <w:pPr>
        <w:pStyle w:val="Compact"/>
        <w:numPr>
          <w:ilvl w:val="0"/>
          <w:numId w:val="16"/>
        </w:numPr>
      </w:pPr>
      <w:r>
        <w:t>Compare trade intent, size, and confidence—not just P&amp;L</w:t>
      </w:r>
    </w:p>
    <w:p w14:paraId="15519744" w14:textId="77777777" w:rsidR="008B0598" w:rsidRDefault="00000000">
      <w:pPr>
        <w:pStyle w:val="Compact"/>
        <w:numPr>
          <w:ilvl w:val="0"/>
          <w:numId w:val="16"/>
        </w:numPr>
      </w:pPr>
      <w:r>
        <w:t>Evaluate drawdown behavior under regime shifts</w:t>
      </w:r>
    </w:p>
    <w:p w14:paraId="7624CD30" w14:textId="77777777" w:rsidR="008B0598" w:rsidRDefault="00000000">
      <w:pPr>
        <w:pStyle w:val="Compact"/>
        <w:numPr>
          <w:ilvl w:val="0"/>
          <w:numId w:val="16"/>
        </w:numPr>
      </w:pPr>
      <w:r>
        <w:t>Inspect failure cases where systems disagree</w:t>
      </w:r>
    </w:p>
    <w:p w14:paraId="7CE0A132" w14:textId="77777777" w:rsidR="008B0598" w:rsidRDefault="00000000">
      <w:pPr>
        <w:pStyle w:val="FirstParagraph"/>
      </w:pPr>
      <w:r>
        <w:t xml:space="preserve">CondorIntelligence should be treated as a </w:t>
      </w:r>
      <w:r>
        <w:rPr>
          <w:i/>
          <w:iCs/>
        </w:rPr>
        <w:t>control architecture</w:t>
      </w:r>
      <w:r>
        <w:t>—not an oracle—against which alternative designs can be evaluated.</w:t>
      </w:r>
    </w:p>
    <w:p w14:paraId="5094F79F" w14:textId="77777777" w:rsidR="008B0598" w:rsidRDefault="00000000">
      <w:r>
        <w:lastRenderedPageBreak/>
        <w:pict w14:anchorId="0E805F75">
          <v:rect id="_x0000_i1035" style="width:0;height:1.5pt" o:hralign="center" o:hrstd="t" o:hr="t"/>
        </w:pict>
      </w:r>
    </w:p>
    <w:p w14:paraId="7DEC5D5C" w14:textId="77777777" w:rsidR="008B0598" w:rsidRDefault="00000000">
      <w:pPr>
        <w:pStyle w:val="Heading2"/>
      </w:pPr>
      <w:bookmarkStart w:id="22" w:name="design-tradeoffs-and-failure-modes"/>
      <w:bookmarkEnd w:id="19"/>
      <w:bookmarkEnd w:id="21"/>
      <w:r>
        <w:t>10. Design Tradeoffs and Failure Modes</w:t>
      </w:r>
    </w:p>
    <w:p w14:paraId="6FC68103" w14:textId="77777777" w:rsidR="008B0598" w:rsidRDefault="00000000">
      <w:pPr>
        <w:pStyle w:val="FirstParagraph"/>
      </w:pPr>
      <w:r>
        <w:t xml:space="preserve">No trading system architecture is universally optimal. CondorIntelligence makes several </w:t>
      </w:r>
      <w:r>
        <w:rPr>
          <w:b/>
          <w:bCs/>
        </w:rPr>
        <w:t>explicit tradeoffs</w:t>
      </w:r>
      <w:r>
        <w:t>, which engineers should understand when using it as a benchmark.</w:t>
      </w:r>
    </w:p>
    <w:p w14:paraId="2D505431" w14:textId="77777777" w:rsidR="008B0598" w:rsidRDefault="00000000">
      <w:pPr>
        <w:pStyle w:val="Heading3"/>
      </w:pPr>
      <w:bookmarkStart w:id="23" w:name="intentional-tradeoffs"/>
      <w:r>
        <w:t>10.1 Intentional Tradeoffs</w:t>
      </w:r>
    </w:p>
    <w:p w14:paraId="7DBA9844" w14:textId="77777777" w:rsidR="008B0598" w:rsidRDefault="00000000">
      <w:pPr>
        <w:numPr>
          <w:ilvl w:val="0"/>
          <w:numId w:val="17"/>
        </w:numPr>
      </w:pPr>
      <w:r>
        <w:rPr>
          <w:b/>
          <w:bCs/>
        </w:rPr>
        <w:t>Decision Calibration over Raw Prediction Accuracy</w:t>
      </w:r>
      <w:r>
        <w:br/>
        <w:t>The system prioritizes stable sizing and risk alignment over minimizing forecast error.</w:t>
      </w:r>
    </w:p>
    <w:p w14:paraId="7A7058F1" w14:textId="77777777" w:rsidR="008B0598" w:rsidRDefault="00000000">
      <w:pPr>
        <w:numPr>
          <w:ilvl w:val="0"/>
          <w:numId w:val="17"/>
        </w:numPr>
      </w:pPr>
      <w:r>
        <w:rPr>
          <w:b/>
          <w:bCs/>
        </w:rPr>
        <w:t>Interpretability over Maximum Model Capacity</w:t>
      </w:r>
      <w:r>
        <w:br/>
        <w:t>The neural–fuzzy fusion layer constrains actions, intentionally limiting expressiveness to enforce discipline.</w:t>
      </w:r>
    </w:p>
    <w:p w14:paraId="431119A6" w14:textId="77777777" w:rsidR="008B0598" w:rsidRDefault="00000000">
      <w:pPr>
        <w:numPr>
          <w:ilvl w:val="0"/>
          <w:numId w:val="17"/>
        </w:numPr>
      </w:pPr>
      <w:r>
        <w:rPr>
          <w:b/>
          <w:bCs/>
        </w:rPr>
        <w:t>Linear-Time Temporal Modeling</w:t>
      </w:r>
      <w:r>
        <w:br/>
        <w:t>Mamba-2 is chosen for scalability and stability, not for attention-style cross-series interaction.</w:t>
      </w:r>
    </w:p>
    <w:p w14:paraId="0211D824" w14:textId="77777777" w:rsidR="008B0598" w:rsidRDefault="00000000">
      <w:pPr>
        <w:pStyle w:val="Heading3"/>
      </w:pPr>
      <w:bookmarkStart w:id="24" w:name="known-failure-modes"/>
      <w:bookmarkEnd w:id="23"/>
      <w:r>
        <w:t>10.2 Known Failure Modes</w:t>
      </w:r>
    </w:p>
    <w:p w14:paraId="019D8099" w14:textId="77777777" w:rsidR="008B0598" w:rsidRDefault="00000000">
      <w:pPr>
        <w:numPr>
          <w:ilvl w:val="0"/>
          <w:numId w:val="18"/>
        </w:numPr>
      </w:pPr>
      <w:r>
        <w:rPr>
          <w:b/>
          <w:bCs/>
        </w:rPr>
        <w:t>Regime Boundary Ambiguity</w:t>
      </w:r>
      <w:r>
        <w:br/>
        <w:t>Transitions between volatility regimes can cause temporary expert disagreement.</w:t>
      </w:r>
    </w:p>
    <w:p w14:paraId="125B24CF" w14:textId="77777777" w:rsidR="008B0598" w:rsidRDefault="00000000">
      <w:pPr>
        <w:numPr>
          <w:ilvl w:val="0"/>
          <w:numId w:val="18"/>
        </w:numPr>
      </w:pPr>
      <w:r>
        <w:rPr>
          <w:b/>
          <w:bCs/>
        </w:rPr>
        <w:t>Over-Conservatism in Extreme Volatility</w:t>
      </w:r>
      <w:r>
        <w:br/>
        <w:t>Volatility dampening may suppress otherwise profitable trades during sharp spikes.</w:t>
      </w:r>
    </w:p>
    <w:p w14:paraId="4D9FDEA7" w14:textId="77777777" w:rsidR="008B0598" w:rsidRDefault="00000000">
      <w:pPr>
        <w:numPr>
          <w:ilvl w:val="0"/>
          <w:numId w:val="18"/>
        </w:numPr>
      </w:pPr>
      <w:r>
        <w:rPr>
          <w:b/>
          <w:bCs/>
        </w:rPr>
        <w:t>Dependence on Alignment Policy Quality</w:t>
      </w:r>
      <w:r>
        <w:br/>
        <w:t>Poorly chosen lag cutoffs or decay parameters can degrade signal quality.</w:t>
      </w:r>
    </w:p>
    <w:p w14:paraId="092D81FF" w14:textId="77777777" w:rsidR="008B0598" w:rsidRDefault="00000000">
      <w:pPr>
        <w:numPr>
          <w:ilvl w:val="0"/>
          <w:numId w:val="18"/>
        </w:numPr>
      </w:pPr>
      <w:r>
        <w:rPr>
          <w:b/>
          <w:bCs/>
        </w:rPr>
        <w:t>Limited Cross-Asset Generalization (Current)</w:t>
      </w:r>
      <w:r>
        <w:br/>
        <w:t>The current benchmark is optimized for SPY-like instruments; extension to other assets requires recalibration.</w:t>
      </w:r>
    </w:p>
    <w:p w14:paraId="31E0CAB6" w14:textId="77777777" w:rsidR="008B0598" w:rsidRDefault="00000000">
      <w:pPr>
        <w:pStyle w:val="FirstParagraph"/>
      </w:pPr>
      <w:r>
        <w:t>Figure F (Institutional Execution Flow) highlights where these tradeoffs surface most clearly in practice.</w:t>
      </w:r>
    </w:p>
    <w:p w14:paraId="26A25236" w14:textId="62A9B0B8" w:rsidR="00CC7C5B" w:rsidRDefault="00CC7C5B" w:rsidP="00CC7C5B">
      <w:pPr>
        <w:jc w:val="center"/>
      </w:pPr>
      <w:r>
        <w:rPr>
          <w:noProof/>
        </w:rPr>
        <w:lastRenderedPageBreak/>
        <w:drawing>
          <wp:inline distT="0" distB="0" distL="0" distR="0" wp14:anchorId="22ED74BD" wp14:editId="3026541B">
            <wp:extent cx="3684270" cy="8229600"/>
            <wp:effectExtent l="0" t="0" r="0" b="0"/>
            <wp:docPr id="88582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577" name="Picture 885825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CD6F01" w14:textId="1BCD1B70" w:rsidR="008B0598" w:rsidRDefault="00000000">
      <w:r>
        <w:lastRenderedPageBreak/>
        <w:pict w14:anchorId="6DDAD455">
          <v:rect id="_x0000_i1036" style="width:0;height:1.5pt" o:hralign="center" o:hrstd="t" o:hr="t"/>
        </w:pict>
      </w:r>
    </w:p>
    <w:p w14:paraId="3F282665" w14:textId="77777777" w:rsidR="008B0598" w:rsidRDefault="00000000">
      <w:pPr>
        <w:pStyle w:val="Heading2"/>
      </w:pPr>
      <w:bookmarkStart w:id="25" w:name="impact-and-velocity-assessment"/>
      <w:bookmarkEnd w:id="22"/>
      <w:bookmarkEnd w:id="24"/>
      <w:r>
        <w:t>11. Impact and Velocity Assessment</w:t>
      </w:r>
    </w:p>
    <w:p w14:paraId="0255D0E7" w14:textId="77777777" w:rsidR="008B0598" w:rsidRDefault="00000000">
      <w:pPr>
        <w:pStyle w:val="FirstParagraph"/>
      </w:pPr>
      <w:r>
        <w:t xml:space="preserve">The velocity achieved during the January 6–13, 2026 development window demonstrates that </w:t>
      </w:r>
      <w:r>
        <w:rPr>
          <w:b/>
          <w:bCs/>
        </w:rPr>
        <w:t>constraint-aware system design</w:t>
      </w:r>
      <w:r>
        <w:t xml:space="preserve"> can dramatically compress iteration cycles without sacrificing rigor. By grounding every component in causality, alignment, and execution realism, CondorIntelligence advanced from prototype to institutional-grade benchmark in days rather than months.</w:t>
      </w:r>
    </w:p>
    <w:p w14:paraId="313BEA16" w14:textId="77777777" w:rsidR="008B0598" w:rsidRDefault="00000000">
      <w:pPr>
        <w:pStyle w:val="BodyText"/>
      </w:pPr>
      <w:r>
        <w:t xml:space="preserve">For neural trading engineers, the primary contribution is not a claim of superior returns, but a </w:t>
      </w:r>
      <w:r>
        <w:rPr>
          <w:i/>
          <w:iCs/>
        </w:rPr>
        <w:t>reference-quality system</w:t>
      </w:r>
      <w:r>
        <w:t xml:space="preserve"> that exposes the full chain from data latency to trade sizing. This enables meaningful comparison, critique, and extension.</w:t>
      </w:r>
    </w:p>
    <w:p w14:paraId="6290225D" w14:textId="77777777" w:rsidR="008B0598" w:rsidRDefault="00000000">
      <w:r>
        <w:pict w14:anchorId="7F10AFFE">
          <v:rect id="_x0000_i1037" style="width:0;height:1.5pt" o:hralign="center" o:hrstd="t" o:hr="t"/>
        </w:pict>
      </w:r>
    </w:p>
    <w:p w14:paraId="39572BFC" w14:textId="77777777" w:rsidR="00CC7C5B" w:rsidRDefault="00CC7C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6" w:name="appendix-a-reproducing-the-benchmark"/>
      <w:bookmarkEnd w:id="25"/>
      <w:r>
        <w:br w:type="page"/>
      </w:r>
    </w:p>
    <w:p w14:paraId="4E83287E" w14:textId="49757004" w:rsidR="008B0598" w:rsidRDefault="00000000">
      <w:pPr>
        <w:pStyle w:val="Heading2"/>
      </w:pPr>
      <w:r>
        <w:lastRenderedPageBreak/>
        <w:t>Appendix A: Reproducing the Benchmark</w:t>
      </w:r>
    </w:p>
    <w:p w14:paraId="18B55A65" w14:textId="77777777" w:rsidR="008B0598" w:rsidRDefault="00000000">
      <w:pPr>
        <w:pStyle w:val="FirstParagraph"/>
      </w:pPr>
      <w:r>
        <w:t>This appendix defines the minimum requirements and procedures for reproducing CondorIntelligence as a benchmark system.</w:t>
      </w:r>
    </w:p>
    <w:p w14:paraId="00598865" w14:textId="77777777" w:rsidR="008B0598" w:rsidRDefault="00000000">
      <w:pPr>
        <w:pStyle w:val="Heading3"/>
      </w:pPr>
      <w:bookmarkStart w:id="27" w:name="a.1-exact-data-expectations"/>
      <w:r>
        <w:t>A.1 Exact Data Expectations</w:t>
      </w:r>
    </w:p>
    <w:p w14:paraId="05D24AE9" w14:textId="77777777" w:rsidR="008B0598" w:rsidRDefault="00000000">
      <w:pPr>
        <w:pStyle w:val="FirstParagraph"/>
      </w:pPr>
      <w:r>
        <w:t xml:space="preserve">CondorIntelligence assumes </w:t>
      </w:r>
      <w:r>
        <w:rPr>
          <w:b/>
          <w:bCs/>
        </w:rPr>
        <w:t>causal, timestamped market data</w:t>
      </w:r>
      <w:r>
        <w:t xml:space="preserve"> with explicit separation between spot and derivatives feeds.</w:t>
      </w:r>
    </w:p>
    <w:p w14:paraId="6F90734E" w14:textId="77777777" w:rsidR="008B0598" w:rsidRDefault="00000000">
      <w:pPr>
        <w:pStyle w:val="BodyText"/>
      </w:pPr>
      <w:r>
        <w:rPr>
          <w:b/>
          <w:bCs/>
        </w:rPr>
        <w:t>Required Inputs:</w:t>
      </w:r>
    </w:p>
    <w:p w14:paraId="13A47B6C" w14:textId="77777777" w:rsidR="008B059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Spot Bars (CSV)</w:t>
      </w:r>
    </w:p>
    <w:p w14:paraId="281FAA23" w14:textId="77777777" w:rsidR="008B0598" w:rsidRDefault="00000000">
      <w:pPr>
        <w:pStyle w:val="Compact"/>
        <w:numPr>
          <w:ilvl w:val="1"/>
          <w:numId w:val="20"/>
        </w:numPr>
      </w:pPr>
      <w:r>
        <w:t>Symbols: SPY (benchmark)</w:t>
      </w:r>
    </w:p>
    <w:p w14:paraId="61CEDAA1" w14:textId="77777777" w:rsidR="008B0598" w:rsidRDefault="00000000">
      <w:pPr>
        <w:pStyle w:val="Compact"/>
        <w:numPr>
          <w:ilvl w:val="1"/>
          <w:numId w:val="20"/>
        </w:numPr>
      </w:pPr>
      <w:r>
        <w:t>Timeframes: 1m (required), 5m and 15m (optional but recommended)</w:t>
      </w:r>
    </w:p>
    <w:p w14:paraId="57A62B21" w14:textId="77777777" w:rsidR="008B0598" w:rsidRDefault="00000000">
      <w:pPr>
        <w:pStyle w:val="Compact"/>
        <w:numPr>
          <w:ilvl w:val="1"/>
          <w:numId w:val="20"/>
        </w:numPr>
      </w:pPr>
      <w:r>
        <w:t>Columns:</w:t>
      </w:r>
    </w:p>
    <w:p w14:paraId="1CD16642" w14:textId="77777777" w:rsidR="008B0598" w:rsidRDefault="00000000">
      <w:pPr>
        <w:pStyle w:val="Compact"/>
        <w:numPr>
          <w:ilvl w:val="2"/>
          <w:numId w:val="21"/>
        </w:numPr>
      </w:pPr>
      <w:r>
        <w:rPr>
          <w:rStyle w:val="VerbatimChar"/>
        </w:rPr>
        <w:t>timestamp</w:t>
      </w:r>
      <w:r>
        <w:t xml:space="preserve"> (UTC, tz-aware)</w:t>
      </w:r>
    </w:p>
    <w:p w14:paraId="284CC094" w14:textId="77777777" w:rsidR="008B0598" w:rsidRDefault="00000000">
      <w:pPr>
        <w:pStyle w:val="Compact"/>
        <w:numPr>
          <w:ilvl w:val="2"/>
          <w:numId w:val="21"/>
        </w:numPr>
      </w:pPr>
      <w:r>
        <w:rPr>
          <w:rStyle w:val="VerbatimChar"/>
        </w:rPr>
        <w:t>open</w:t>
      </w:r>
      <w:r>
        <w:t xml:space="preserve">, </w:t>
      </w:r>
      <w:r>
        <w:rPr>
          <w:rStyle w:val="VerbatimChar"/>
        </w:rPr>
        <w:t>high</w:t>
      </w:r>
      <w:r>
        <w:t xml:space="preserve">, </w:t>
      </w:r>
      <w:r>
        <w:rPr>
          <w:rStyle w:val="VerbatimChar"/>
        </w:rPr>
        <w:t>low</w:t>
      </w:r>
      <w:r>
        <w:t xml:space="preserve">, </w:t>
      </w:r>
      <w:r>
        <w:rPr>
          <w:rStyle w:val="VerbatimChar"/>
        </w:rPr>
        <w:t>close</w:t>
      </w:r>
      <w:r>
        <w:t xml:space="preserve">, </w:t>
      </w:r>
      <w:r>
        <w:rPr>
          <w:rStyle w:val="VerbatimChar"/>
        </w:rPr>
        <w:t>volume</w:t>
      </w:r>
    </w:p>
    <w:p w14:paraId="2384B600" w14:textId="77777777" w:rsidR="008B059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Options Chain Snapshots (CSV)</w:t>
      </w:r>
    </w:p>
    <w:p w14:paraId="3546D55F" w14:textId="77777777" w:rsidR="008B0598" w:rsidRDefault="00000000">
      <w:pPr>
        <w:pStyle w:val="Compact"/>
        <w:numPr>
          <w:ilvl w:val="1"/>
          <w:numId w:val="22"/>
        </w:numPr>
      </w:pPr>
      <w:r>
        <w:t>One snapshot per timestamp (not per bar)</w:t>
      </w:r>
    </w:p>
    <w:p w14:paraId="79748044" w14:textId="77777777" w:rsidR="008B0598" w:rsidRDefault="00000000">
      <w:pPr>
        <w:pStyle w:val="Compact"/>
        <w:numPr>
          <w:ilvl w:val="1"/>
          <w:numId w:val="22"/>
        </w:numPr>
      </w:pPr>
      <w:r>
        <w:t>Columns:</w:t>
      </w:r>
    </w:p>
    <w:p w14:paraId="056999FB" w14:textId="77777777" w:rsidR="008B0598" w:rsidRDefault="00000000">
      <w:pPr>
        <w:pStyle w:val="Compact"/>
        <w:numPr>
          <w:ilvl w:val="2"/>
          <w:numId w:val="23"/>
        </w:numPr>
      </w:pPr>
      <w:r>
        <w:rPr>
          <w:rStyle w:val="VerbatimChar"/>
        </w:rPr>
        <w:t>timestamp</w:t>
      </w:r>
      <w:r>
        <w:t xml:space="preserve"> (UTC)</w:t>
      </w:r>
    </w:p>
    <w:p w14:paraId="3F44ED9A" w14:textId="77777777" w:rsidR="008B0598" w:rsidRDefault="00000000">
      <w:pPr>
        <w:pStyle w:val="Compact"/>
        <w:numPr>
          <w:ilvl w:val="2"/>
          <w:numId w:val="23"/>
        </w:numPr>
      </w:pPr>
      <w:r>
        <w:rPr>
          <w:rStyle w:val="VerbatimChar"/>
        </w:rPr>
        <w:t>symbol</w:t>
      </w:r>
    </w:p>
    <w:p w14:paraId="525C085B" w14:textId="77777777" w:rsidR="008B0598" w:rsidRDefault="00000000">
      <w:pPr>
        <w:pStyle w:val="Compact"/>
        <w:numPr>
          <w:ilvl w:val="2"/>
          <w:numId w:val="23"/>
        </w:numPr>
      </w:pPr>
      <w:r>
        <w:rPr>
          <w:rStyle w:val="VerbatimChar"/>
        </w:rPr>
        <w:t>expiry</w:t>
      </w:r>
    </w:p>
    <w:p w14:paraId="2FB97BFA" w14:textId="77777777" w:rsidR="008B0598" w:rsidRDefault="00000000">
      <w:pPr>
        <w:pStyle w:val="Compact"/>
        <w:numPr>
          <w:ilvl w:val="2"/>
          <w:numId w:val="23"/>
        </w:numPr>
      </w:pPr>
      <w:r>
        <w:rPr>
          <w:rStyle w:val="VerbatimChar"/>
        </w:rPr>
        <w:t>strike</w:t>
      </w:r>
    </w:p>
    <w:p w14:paraId="79D5F564" w14:textId="77777777" w:rsidR="008B0598" w:rsidRDefault="00000000">
      <w:pPr>
        <w:pStyle w:val="Compact"/>
        <w:numPr>
          <w:ilvl w:val="2"/>
          <w:numId w:val="23"/>
        </w:numPr>
      </w:pPr>
      <w:r>
        <w:rPr>
          <w:rStyle w:val="VerbatimChar"/>
        </w:rPr>
        <w:t>type</w:t>
      </w:r>
      <w:r>
        <w:t xml:space="preserve"> (C/P)</w:t>
      </w:r>
    </w:p>
    <w:p w14:paraId="2033F9C9" w14:textId="77777777" w:rsidR="008B0598" w:rsidRDefault="00000000">
      <w:pPr>
        <w:pStyle w:val="Compact"/>
        <w:numPr>
          <w:ilvl w:val="2"/>
          <w:numId w:val="23"/>
        </w:numPr>
      </w:pPr>
      <w:r>
        <w:rPr>
          <w:rStyle w:val="VerbatimChar"/>
        </w:rPr>
        <w:t>bid</w:t>
      </w:r>
      <w:r>
        <w:t xml:space="preserve">, </w:t>
      </w:r>
      <w:r>
        <w:rPr>
          <w:rStyle w:val="VerbatimChar"/>
        </w:rPr>
        <w:t>ask</w:t>
      </w:r>
    </w:p>
    <w:p w14:paraId="050262A0" w14:textId="77777777" w:rsidR="008B0598" w:rsidRDefault="00000000">
      <w:pPr>
        <w:pStyle w:val="Compact"/>
        <w:numPr>
          <w:ilvl w:val="2"/>
          <w:numId w:val="23"/>
        </w:numPr>
      </w:pPr>
      <w:r>
        <w:t xml:space="preserve">Greeks: </w:t>
      </w:r>
      <w:r>
        <w:rPr>
          <w:rStyle w:val="VerbatimChar"/>
        </w:rPr>
        <w:t>delta</w:t>
      </w:r>
      <w:r>
        <w:t xml:space="preserve">, </w:t>
      </w:r>
      <w:r>
        <w:rPr>
          <w:rStyle w:val="VerbatimChar"/>
        </w:rPr>
        <w:t>gamma</w:t>
      </w:r>
      <w:r>
        <w:t xml:space="preserve">, </w:t>
      </w:r>
      <w:r>
        <w:rPr>
          <w:rStyle w:val="VerbatimChar"/>
        </w:rPr>
        <w:t>vega</w:t>
      </w:r>
      <w:r>
        <w:t xml:space="preserve">, </w:t>
      </w:r>
      <w:r>
        <w:rPr>
          <w:rStyle w:val="VerbatimChar"/>
        </w:rPr>
        <w:t>theta</w:t>
      </w:r>
    </w:p>
    <w:p w14:paraId="478E35FE" w14:textId="77777777" w:rsidR="008B059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Auxiliary Feeds (Optional but Supported)</w:t>
      </w:r>
    </w:p>
    <w:p w14:paraId="35BA2F02" w14:textId="77777777" w:rsidR="008B0598" w:rsidRDefault="00000000">
      <w:pPr>
        <w:pStyle w:val="Compact"/>
        <w:numPr>
          <w:ilvl w:val="1"/>
          <w:numId w:val="24"/>
        </w:numPr>
      </w:pPr>
      <w:r>
        <w:t>VIX or IV proxy</w:t>
      </w:r>
    </w:p>
    <w:p w14:paraId="42AA427B" w14:textId="77777777" w:rsidR="008B0598" w:rsidRDefault="00000000">
      <w:pPr>
        <w:pStyle w:val="Compact"/>
        <w:numPr>
          <w:ilvl w:val="1"/>
          <w:numId w:val="24"/>
        </w:numPr>
      </w:pPr>
      <w:r>
        <w:t>Overnight gap metrics</w:t>
      </w:r>
    </w:p>
    <w:p w14:paraId="18C551F6" w14:textId="77777777" w:rsidR="008B0598" w:rsidRDefault="00000000">
      <w:pPr>
        <w:pStyle w:val="Compact"/>
        <w:numPr>
          <w:ilvl w:val="1"/>
          <w:numId w:val="24"/>
        </w:numPr>
      </w:pPr>
      <w:r>
        <w:t>ES/SPY divergence signals</w:t>
      </w:r>
    </w:p>
    <w:p w14:paraId="64E605B5" w14:textId="77777777" w:rsidR="008B0598" w:rsidRDefault="00000000">
      <w:pPr>
        <w:pStyle w:val="FirstParagraph"/>
      </w:pPr>
      <w:r>
        <w:t xml:space="preserve">All inputs are treated as </w:t>
      </w:r>
      <w:r>
        <w:rPr>
          <w:i/>
          <w:iCs/>
        </w:rPr>
        <w:t>potentially lagged</w:t>
      </w:r>
      <w:r>
        <w:t>. No assumptions of synchrony are made.</w:t>
      </w:r>
    </w:p>
    <w:p w14:paraId="6775EB8F" w14:textId="77777777" w:rsidR="008B0598" w:rsidRDefault="00000000">
      <w:r>
        <w:pict w14:anchorId="3E3CB1DD">
          <v:rect id="_x0000_i1038" style="width:0;height:1.5pt" o:hralign="center" o:hrstd="t" o:hr="t"/>
        </w:pict>
      </w:r>
    </w:p>
    <w:p w14:paraId="31DAC1FD" w14:textId="77777777" w:rsidR="008B0598" w:rsidRDefault="00000000">
      <w:pPr>
        <w:pStyle w:val="Heading3"/>
      </w:pPr>
      <w:bookmarkStart w:id="28" w:name="a.2-minimal-run-path"/>
      <w:bookmarkEnd w:id="27"/>
      <w:r>
        <w:t>A.2 Minimal Run Path</w:t>
      </w:r>
    </w:p>
    <w:p w14:paraId="3050D61C" w14:textId="77777777" w:rsidR="008B0598" w:rsidRDefault="00000000">
      <w:pPr>
        <w:pStyle w:val="FirstParagraph"/>
      </w:pPr>
      <w:r>
        <w:t>The minimal benchmark run path is intentionally short and auditable.</w:t>
      </w:r>
    </w:p>
    <w:p w14:paraId="2832C9CA" w14:textId="77777777" w:rsidR="008B059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Load data</w:t>
      </w:r>
    </w:p>
    <w:p w14:paraId="3F740726" w14:textId="77777777" w:rsidR="008B0598" w:rsidRDefault="00000000">
      <w:pPr>
        <w:pStyle w:val="Compact"/>
        <w:numPr>
          <w:ilvl w:val="1"/>
          <w:numId w:val="26"/>
        </w:numPr>
      </w:pPr>
      <w:r>
        <w:t>Memory-map CSVs</w:t>
      </w:r>
    </w:p>
    <w:p w14:paraId="6143228E" w14:textId="77777777" w:rsidR="008B0598" w:rsidRDefault="00000000">
      <w:pPr>
        <w:pStyle w:val="Compact"/>
        <w:numPr>
          <w:ilvl w:val="1"/>
          <w:numId w:val="26"/>
        </w:numPr>
      </w:pPr>
      <w:r>
        <w:t>Construct zero-copy rolling windows</w:t>
      </w:r>
    </w:p>
    <w:p w14:paraId="6791950C" w14:textId="77777777" w:rsidR="008B059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lastRenderedPageBreak/>
        <w:t>Stream MarketSnapshot objects</w:t>
      </w:r>
    </w:p>
    <w:p w14:paraId="570FEA0A" w14:textId="77777777" w:rsidR="008B0598" w:rsidRDefault="00000000">
      <w:pPr>
        <w:pStyle w:val="Compact"/>
        <w:numPr>
          <w:ilvl w:val="1"/>
          <w:numId w:val="27"/>
        </w:numPr>
      </w:pPr>
      <w:r>
        <w:t>Align spot bars with nearest valid options snapshot</w:t>
      </w:r>
    </w:p>
    <w:p w14:paraId="18926511" w14:textId="77777777" w:rsidR="008B0598" w:rsidRDefault="00000000">
      <w:pPr>
        <w:pStyle w:val="Compact"/>
        <w:numPr>
          <w:ilvl w:val="1"/>
          <w:numId w:val="27"/>
        </w:numPr>
      </w:pPr>
      <w:r>
        <w:t>Apply IV confidence decay and lag policies</w:t>
      </w:r>
    </w:p>
    <w:p w14:paraId="433BF213" w14:textId="77777777" w:rsidR="008B059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Neural inference</w:t>
      </w:r>
    </w:p>
    <w:p w14:paraId="6DC2A5E1" w14:textId="77777777" w:rsidR="008B0598" w:rsidRDefault="00000000">
      <w:pPr>
        <w:pStyle w:val="Compact"/>
        <w:numPr>
          <w:ilvl w:val="1"/>
          <w:numId w:val="28"/>
        </w:numPr>
      </w:pPr>
      <w:r>
        <w:t>Pass tensors through the 24-layer Mamba-2 backbone</w:t>
      </w:r>
    </w:p>
    <w:p w14:paraId="5F62A6EA" w14:textId="77777777" w:rsidR="008B0598" w:rsidRDefault="00000000">
      <w:pPr>
        <w:pStyle w:val="Compact"/>
        <w:numPr>
          <w:ilvl w:val="1"/>
          <w:numId w:val="28"/>
        </w:numPr>
      </w:pPr>
      <w:r>
        <w:t>Produce 23-head joint outputs (policy, regime, horizon)</w:t>
      </w:r>
    </w:p>
    <w:p w14:paraId="66AA5AB6" w14:textId="77777777" w:rsidR="008B059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Neural–fuzzy fusion</w:t>
      </w:r>
    </w:p>
    <w:p w14:paraId="3066F40D" w14:textId="77777777" w:rsidR="008B0598" w:rsidRDefault="00000000">
      <w:pPr>
        <w:pStyle w:val="Compact"/>
        <w:numPr>
          <w:ilvl w:val="1"/>
          <w:numId w:val="29"/>
        </w:numPr>
      </w:pPr>
      <w:r>
        <w:t>Convert neural outputs into fuzzy membership degrees</w:t>
      </w:r>
    </w:p>
    <w:p w14:paraId="78AD5AD4" w14:textId="77777777" w:rsidR="008B0598" w:rsidRDefault="00000000">
      <w:pPr>
        <w:pStyle w:val="Compact"/>
        <w:numPr>
          <w:ilvl w:val="1"/>
          <w:numId w:val="29"/>
        </w:numPr>
      </w:pPr>
      <w:r>
        <w:t>Aggregate into confidence and bias</w:t>
      </w:r>
    </w:p>
    <w:p w14:paraId="2D827B7E" w14:textId="77777777" w:rsidR="008B0598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Sizing and execution decision</w:t>
      </w:r>
    </w:p>
    <w:p w14:paraId="01C849A6" w14:textId="77777777" w:rsidR="008B0598" w:rsidRDefault="00000000">
      <w:pPr>
        <w:pStyle w:val="Compact"/>
        <w:numPr>
          <w:ilvl w:val="1"/>
          <w:numId w:val="30"/>
        </w:numPr>
      </w:pPr>
      <w:r>
        <w:t>Apply volatility dampening</w:t>
      </w:r>
    </w:p>
    <w:p w14:paraId="7BBE139B" w14:textId="77777777" w:rsidR="008B0598" w:rsidRDefault="00000000">
      <w:pPr>
        <w:pStyle w:val="Compact"/>
        <w:numPr>
          <w:ilvl w:val="1"/>
          <w:numId w:val="30"/>
        </w:numPr>
      </w:pPr>
      <w:r>
        <w:t>Compute final position size</w:t>
      </w:r>
    </w:p>
    <w:p w14:paraId="46032B41" w14:textId="77777777" w:rsidR="008B0598" w:rsidRDefault="00000000">
      <w:pPr>
        <w:pStyle w:val="Compact"/>
        <w:numPr>
          <w:ilvl w:val="1"/>
          <w:numId w:val="30"/>
        </w:numPr>
      </w:pPr>
      <w:r>
        <w:t>Emit trade intent (no execution required for benchmark mode)</w:t>
      </w:r>
    </w:p>
    <w:p w14:paraId="029F3675" w14:textId="77777777" w:rsidR="008B0598" w:rsidRDefault="00000000">
      <w:pPr>
        <w:pStyle w:val="FirstParagraph"/>
      </w:pPr>
      <w:r>
        <w:t>No broker connectivity is required to reproduce benchmark outputs.</w:t>
      </w:r>
    </w:p>
    <w:p w14:paraId="30F8D1D0" w14:textId="77777777" w:rsidR="008B0598" w:rsidRDefault="00000000">
      <w:r>
        <w:pict w14:anchorId="3980383D">
          <v:rect id="_x0000_i1039" style="width:0;height:1.5pt" o:hralign="center" o:hrstd="t" o:hr="t"/>
        </w:pict>
      </w:r>
    </w:p>
    <w:p w14:paraId="5495F1F4" w14:textId="77777777" w:rsidR="008B0598" w:rsidRDefault="00000000">
      <w:pPr>
        <w:pStyle w:val="Heading3"/>
      </w:pPr>
      <w:bookmarkStart w:id="29" w:name="a.3-required-outputs-to-log"/>
      <w:bookmarkEnd w:id="28"/>
      <w:r>
        <w:t>A.3 Required Outputs to Log</w:t>
      </w:r>
    </w:p>
    <w:p w14:paraId="177002DF" w14:textId="21D8DB97" w:rsidR="008B0598" w:rsidRDefault="00CC7C5B">
      <w:pPr>
        <w:pStyle w:val="FirstParagraph"/>
      </w:pPr>
      <w:r>
        <w:t>T</w:t>
      </w:r>
      <w:r w:rsidR="00000000">
        <w:t xml:space="preserve">he following outputs should be logged at </w:t>
      </w:r>
      <w:proofErr w:type="gramStart"/>
      <w:r w:rsidR="00000000">
        <w:t>every decision</w:t>
      </w:r>
      <w:proofErr w:type="gramEnd"/>
      <w:r w:rsidR="00000000">
        <w:t xml:space="preserve"> step:</w:t>
      </w:r>
    </w:p>
    <w:p w14:paraId="3F2AE7B3" w14:textId="77777777" w:rsidR="008B059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Trade Intent</w:t>
      </w:r>
    </w:p>
    <w:p w14:paraId="6C078AD4" w14:textId="77777777" w:rsidR="008B0598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should_trade</w:t>
      </w:r>
      <w:r>
        <w:t xml:space="preserve"> (bool)</w:t>
      </w:r>
    </w:p>
    <w:p w14:paraId="7865C7D2" w14:textId="77777777" w:rsidR="008B0598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bias</w:t>
      </w:r>
      <w:r>
        <w:t xml:space="preserve"> (bullish / neutral / bearish)</w:t>
      </w:r>
    </w:p>
    <w:p w14:paraId="73AFB733" w14:textId="77777777" w:rsidR="008B0598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confidence</w:t>
      </w:r>
      <w:r>
        <w:t xml:space="preserve"> ∈ [0, 1]</w:t>
      </w:r>
    </w:p>
    <w:p w14:paraId="37141FBB" w14:textId="77777777" w:rsidR="008B059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Sizing Metrics</w:t>
      </w:r>
    </w:p>
    <w:p w14:paraId="1A121AAF" w14:textId="77777777" w:rsidR="008B0598" w:rsidRDefault="00000000">
      <w:pPr>
        <w:pStyle w:val="Compact"/>
        <w:numPr>
          <w:ilvl w:val="1"/>
          <w:numId w:val="33"/>
        </w:numPr>
      </w:pPr>
      <w:r>
        <w:t>Base size</w:t>
      </w:r>
    </w:p>
    <w:p w14:paraId="43966592" w14:textId="77777777" w:rsidR="008B0598" w:rsidRDefault="00000000">
      <w:pPr>
        <w:pStyle w:val="Compact"/>
        <w:numPr>
          <w:ilvl w:val="1"/>
          <w:numId w:val="33"/>
        </w:numPr>
      </w:pPr>
      <w:r>
        <w:t>Volatility percentile</w:t>
      </w:r>
    </w:p>
    <w:p w14:paraId="7BC35C24" w14:textId="77777777" w:rsidR="008B0598" w:rsidRDefault="00000000">
      <w:pPr>
        <w:pStyle w:val="Compact"/>
        <w:numPr>
          <w:ilvl w:val="1"/>
          <w:numId w:val="33"/>
        </w:numPr>
      </w:pPr>
      <w:r>
        <w:t>Final scaled size</w:t>
      </w:r>
    </w:p>
    <w:p w14:paraId="10B2C392" w14:textId="77777777" w:rsidR="008B059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Regime Information</w:t>
      </w:r>
    </w:p>
    <w:p w14:paraId="3505807F" w14:textId="77777777" w:rsidR="008B0598" w:rsidRDefault="00000000">
      <w:pPr>
        <w:pStyle w:val="Compact"/>
        <w:numPr>
          <w:ilvl w:val="1"/>
          <w:numId w:val="34"/>
        </w:numPr>
      </w:pPr>
      <w:r>
        <w:t>Regime probabilities (low / normal / high vol)</w:t>
      </w:r>
    </w:p>
    <w:p w14:paraId="2F1F546A" w14:textId="77777777" w:rsidR="008B0598" w:rsidRDefault="00000000">
      <w:pPr>
        <w:pStyle w:val="Compact"/>
        <w:numPr>
          <w:ilvl w:val="1"/>
          <w:numId w:val="34"/>
        </w:numPr>
      </w:pPr>
      <w:r>
        <w:t>Selected expert</w:t>
      </w:r>
    </w:p>
    <w:p w14:paraId="5FF63CE6" w14:textId="77777777" w:rsidR="008B059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Alignment Diagnostics</w:t>
      </w:r>
    </w:p>
    <w:p w14:paraId="048B2DF5" w14:textId="77777777" w:rsidR="008B0598" w:rsidRDefault="00000000">
      <w:pPr>
        <w:pStyle w:val="Compact"/>
        <w:numPr>
          <w:ilvl w:val="1"/>
          <w:numId w:val="35"/>
        </w:numPr>
      </w:pPr>
      <w:r>
        <w:t>Options lag (seconds)</w:t>
      </w:r>
    </w:p>
    <w:p w14:paraId="6A6EC0C8" w14:textId="77777777" w:rsidR="008B0598" w:rsidRDefault="00000000">
      <w:pPr>
        <w:pStyle w:val="Compact"/>
        <w:numPr>
          <w:ilvl w:val="1"/>
          <w:numId w:val="35"/>
        </w:numPr>
      </w:pPr>
      <w:r>
        <w:t>IV confidence score</w:t>
      </w:r>
    </w:p>
    <w:p w14:paraId="35E69C03" w14:textId="77777777" w:rsidR="008B0598" w:rsidRDefault="00000000">
      <w:pPr>
        <w:pStyle w:val="Compact"/>
        <w:numPr>
          <w:ilvl w:val="1"/>
          <w:numId w:val="35"/>
        </w:numPr>
      </w:pPr>
      <w:r>
        <w:t>Alignment mode (exact / prior / stale)</w:t>
      </w:r>
    </w:p>
    <w:p w14:paraId="6AFBF362" w14:textId="77777777" w:rsidR="008B0598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Outcome Tracking (Offline)</w:t>
      </w:r>
    </w:p>
    <w:p w14:paraId="5EB4DDB4" w14:textId="77777777" w:rsidR="008B0598" w:rsidRDefault="00000000">
      <w:pPr>
        <w:pStyle w:val="Compact"/>
        <w:numPr>
          <w:ilvl w:val="1"/>
          <w:numId w:val="36"/>
        </w:numPr>
      </w:pPr>
      <w:r>
        <w:t>Realized P&amp;L</w:t>
      </w:r>
    </w:p>
    <w:p w14:paraId="5BAA19D5" w14:textId="77777777" w:rsidR="008B0598" w:rsidRDefault="00000000">
      <w:pPr>
        <w:pStyle w:val="Compact"/>
        <w:numPr>
          <w:ilvl w:val="1"/>
          <w:numId w:val="36"/>
        </w:numPr>
      </w:pPr>
      <w:r>
        <w:t>Max adverse excursion</w:t>
      </w:r>
    </w:p>
    <w:p w14:paraId="27ADD93F" w14:textId="77777777" w:rsidR="008B0598" w:rsidRDefault="00000000">
      <w:pPr>
        <w:pStyle w:val="Compact"/>
        <w:numPr>
          <w:ilvl w:val="1"/>
          <w:numId w:val="36"/>
        </w:numPr>
      </w:pPr>
      <w:r>
        <w:t>Regime-conditional performance</w:t>
      </w:r>
    </w:p>
    <w:p w14:paraId="537409B2" w14:textId="77777777" w:rsidR="008B0598" w:rsidRDefault="00000000">
      <w:pPr>
        <w:pStyle w:val="FirstParagraph"/>
      </w:pPr>
      <w:r>
        <w:lastRenderedPageBreak/>
        <w:t>These logs, rather than raw returns alone, form the core benchmarking surface.</w:t>
      </w:r>
    </w:p>
    <w:p w14:paraId="25A4DA44" w14:textId="77777777" w:rsidR="008B0598" w:rsidRDefault="00000000">
      <w:r>
        <w:pict w14:anchorId="06FA448B">
          <v:rect id="_x0000_i1040" style="width:0;height:1.5pt" o:hralign="center" o:hrstd="t" o:hr="t"/>
        </w:pict>
      </w:r>
    </w:p>
    <w:p w14:paraId="40562C0F" w14:textId="77777777" w:rsidR="008B0598" w:rsidRDefault="00000000">
      <w:pPr>
        <w:pStyle w:val="Heading2"/>
      </w:pPr>
      <w:bookmarkStart w:id="30" w:name="X4c3a17ab0c976ba74e5ac4782f4cdf230085dcf"/>
      <w:bookmarkEnd w:id="26"/>
      <w:bookmarkEnd w:id="29"/>
      <w:r>
        <w:t>Appendix B: Comparative Architecture Table</w:t>
      </w:r>
    </w:p>
    <w:p w14:paraId="44E50E9F" w14:textId="77777777" w:rsidR="008B0598" w:rsidRDefault="00000000">
      <w:pPr>
        <w:pStyle w:val="FirstParagraph"/>
      </w:pPr>
      <w:r>
        <w:t>The table below summarizes key differences between common trading system paradigms and CondorIntelligence.</w:t>
      </w:r>
    </w:p>
    <w:tbl>
      <w:tblPr>
        <w:tblStyle w:val="PlainTable2"/>
        <w:tblW w:w="5169" w:type="pct"/>
        <w:tblInd w:w="-252" w:type="dxa"/>
        <w:tblLayout w:type="fixed"/>
        <w:tblLook w:val="0020" w:firstRow="1" w:lastRow="0" w:firstColumn="0" w:lastColumn="0" w:noHBand="0" w:noVBand="0"/>
      </w:tblPr>
      <w:tblGrid>
        <w:gridCol w:w="1759"/>
        <w:gridCol w:w="1320"/>
        <w:gridCol w:w="1408"/>
        <w:gridCol w:w="2230"/>
        <w:gridCol w:w="2949"/>
      </w:tblGrid>
      <w:tr w:rsidR="008B0598" w14:paraId="44B96ECD" w14:textId="77777777" w:rsidTr="00CC7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226EB511" w14:textId="77777777" w:rsidR="008B0598" w:rsidRDefault="00000000">
            <w:pPr>
              <w:pStyle w:val="Compact"/>
            </w:pPr>
            <w:r>
              <w:t>Dimension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0C2515B6" w14:textId="77777777" w:rsidR="008B0598" w:rsidRDefault="00000000">
            <w:pPr>
              <w:pStyle w:val="Compact"/>
            </w:pPr>
            <w:r>
              <w:t>Rule-Based Systems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5BE9401" w14:textId="77777777" w:rsidR="008B0598" w:rsidRDefault="00000000">
            <w:pPr>
              <w:pStyle w:val="Compact"/>
            </w:pPr>
            <w:r>
              <w:t>LSTM-Based Systems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7B409645" w14:textId="77777777" w:rsidR="008B0598" w:rsidRDefault="00000000">
            <w:pPr>
              <w:pStyle w:val="Compact"/>
            </w:pPr>
            <w:r>
              <w:t>Transformer-Based Systems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77D1BFD6" w14:textId="77777777" w:rsidR="008B0598" w:rsidRDefault="00000000">
            <w:pPr>
              <w:pStyle w:val="Compact"/>
            </w:pPr>
            <w:proofErr w:type="spellStart"/>
            <w:r>
              <w:t>CondorIntelligence</w:t>
            </w:r>
            <w:proofErr w:type="spellEnd"/>
            <w:r>
              <w:t xml:space="preserve"> (Mamba-2)</w:t>
            </w:r>
          </w:p>
        </w:tc>
      </w:tr>
      <w:tr w:rsidR="008B0598" w14:paraId="066ECA20" w14:textId="77777777" w:rsidTr="00CC7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18DC8445" w14:textId="77777777" w:rsidR="008B0598" w:rsidRDefault="00000000">
            <w:pPr>
              <w:pStyle w:val="Compact"/>
            </w:pPr>
            <w:r>
              <w:t>Temporal Complexity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5ECAFDB7" w14:textId="77777777" w:rsidR="008B0598" w:rsidRDefault="00000000">
            <w:pPr>
              <w:pStyle w:val="Compact"/>
            </w:pPr>
            <w:r>
              <w:t>O(1) heuristics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C744D98" w14:textId="77777777" w:rsidR="008B0598" w:rsidRDefault="00000000">
            <w:pPr>
              <w:pStyle w:val="Compact"/>
            </w:pPr>
            <w:r>
              <w:t>O(N) sequential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04D17A38" w14:textId="77777777" w:rsidR="008B0598" w:rsidRDefault="00000000">
            <w:pPr>
              <w:pStyle w:val="Compact"/>
            </w:pPr>
            <w:r>
              <w:t>O(N²) attention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734A5A15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O(N) selective SSM</w:t>
            </w:r>
          </w:p>
        </w:tc>
      </w:tr>
      <w:tr w:rsidR="008B0598" w14:paraId="3DD6CFC8" w14:textId="77777777" w:rsidTr="00CC7C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634CCFB7" w14:textId="77777777" w:rsidR="008B0598" w:rsidRDefault="00000000">
            <w:pPr>
              <w:pStyle w:val="Compact"/>
            </w:pPr>
            <w:r>
              <w:t>Long-Horizon Memory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14C99220" w14:textId="77777777" w:rsidR="008B0598" w:rsidRDefault="00000000">
            <w:pPr>
              <w:pStyle w:val="Compact"/>
            </w:pPr>
            <w:r>
              <w:t>Manual rules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3F785A8" w14:textId="77777777" w:rsidR="008B0598" w:rsidRDefault="00000000">
            <w:pPr>
              <w:pStyle w:val="Compact"/>
            </w:pPr>
            <w:r>
              <w:t>Limited / vanishing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19CF4212" w14:textId="77777777" w:rsidR="008B0598" w:rsidRDefault="00000000">
            <w:pPr>
              <w:pStyle w:val="Compact"/>
            </w:pPr>
            <w:r>
              <w:t>Strong but expensive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3F265D51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Strong, stable state memory</w:t>
            </w:r>
          </w:p>
        </w:tc>
      </w:tr>
      <w:tr w:rsidR="008B0598" w14:paraId="7782F880" w14:textId="77777777" w:rsidTr="00CC7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74EDFFF3" w14:textId="77777777" w:rsidR="008B0598" w:rsidRDefault="00000000">
            <w:pPr>
              <w:pStyle w:val="Compact"/>
            </w:pPr>
            <w:r>
              <w:t>Data Lag Handling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6980F460" w14:textId="77777777" w:rsidR="008B0598" w:rsidRDefault="00000000">
            <w:pPr>
              <w:pStyle w:val="Compact"/>
            </w:pPr>
            <w:r>
              <w:t>Ad-hoc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32C04AF" w14:textId="77777777" w:rsidR="008B0598" w:rsidRDefault="00000000">
            <w:pPr>
              <w:pStyle w:val="Compact"/>
            </w:pPr>
            <w:r>
              <w:t>Rarely explicit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1ABC6014" w14:textId="77777777" w:rsidR="008B0598" w:rsidRDefault="00000000">
            <w:pPr>
              <w:pStyle w:val="Compact"/>
            </w:pPr>
            <w:r>
              <w:t>Rarely explicit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47BEA313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First-class, policy-driven</w:t>
            </w:r>
          </w:p>
        </w:tc>
      </w:tr>
      <w:tr w:rsidR="008B0598" w14:paraId="4E2141CD" w14:textId="77777777" w:rsidTr="00CC7C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76843637" w14:textId="77777777" w:rsidR="008B0598" w:rsidRDefault="00000000">
            <w:pPr>
              <w:pStyle w:val="Compact"/>
            </w:pPr>
            <w:r>
              <w:t>Regime Awareness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4920D597" w14:textId="77777777" w:rsidR="008B0598" w:rsidRDefault="00000000">
            <w:pPr>
              <w:pStyle w:val="Compact"/>
            </w:pPr>
            <w:r>
              <w:t>Static thresholds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BAED435" w14:textId="77777777" w:rsidR="008B0598" w:rsidRDefault="00000000">
            <w:pPr>
              <w:pStyle w:val="Compact"/>
            </w:pPr>
            <w:r>
              <w:t>Implicit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4D0F9A45" w14:textId="77777777" w:rsidR="008B0598" w:rsidRDefault="00000000">
            <w:pPr>
              <w:pStyle w:val="Compact"/>
            </w:pPr>
            <w:r>
              <w:t>Implicit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6A9E1890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 xml:space="preserve">Explicit </w:t>
            </w:r>
            <w:proofErr w:type="spellStart"/>
            <w:r>
              <w:rPr>
                <w:b/>
                <w:bCs/>
              </w:rPr>
              <w:t>MoE</w:t>
            </w:r>
            <w:proofErr w:type="spellEnd"/>
            <w:r>
              <w:rPr>
                <w:b/>
                <w:bCs/>
              </w:rPr>
              <w:t xml:space="preserve"> gating</w:t>
            </w:r>
          </w:p>
        </w:tc>
      </w:tr>
      <w:tr w:rsidR="008B0598" w14:paraId="11D40B75" w14:textId="77777777" w:rsidTr="00CC7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6CE6281E" w14:textId="77777777" w:rsidR="008B0598" w:rsidRDefault="00000000">
            <w:pPr>
              <w:pStyle w:val="Compact"/>
            </w:pPr>
            <w:r>
              <w:t>Trade Sizing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549DEE26" w14:textId="77777777" w:rsidR="008B0598" w:rsidRDefault="00000000">
            <w:pPr>
              <w:pStyle w:val="Compact"/>
            </w:pPr>
            <w:r>
              <w:t>Fixed / Kelly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9C60D55" w14:textId="77777777" w:rsidR="008B0598" w:rsidRDefault="00000000">
            <w:pPr>
              <w:pStyle w:val="Compact"/>
            </w:pPr>
            <w:r>
              <w:t>Heuristic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4DFA5470" w14:textId="77777777" w:rsidR="008B0598" w:rsidRDefault="00000000">
            <w:pPr>
              <w:pStyle w:val="Compact"/>
            </w:pPr>
            <w:r>
              <w:t>Heuristic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17862F5F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Fuzzy + volatility calibrated</w:t>
            </w:r>
          </w:p>
        </w:tc>
      </w:tr>
      <w:tr w:rsidR="008B0598" w14:paraId="298EB47C" w14:textId="77777777" w:rsidTr="00CC7C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0EC846F9" w14:textId="77777777" w:rsidR="008B0598" w:rsidRDefault="00000000">
            <w:pPr>
              <w:pStyle w:val="Compact"/>
            </w:pPr>
            <w:r>
              <w:t>Probability of Success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34576C2A" w14:textId="77777777" w:rsidR="008B0598" w:rsidRDefault="00000000">
            <w:pPr>
              <w:pStyle w:val="Compact"/>
            </w:pPr>
            <w:r>
              <w:t>Implicit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8DD5975" w14:textId="77777777" w:rsidR="008B0598" w:rsidRDefault="00000000">
            <w:pPr>
              <w:pStyle w:val="Compact"/>
            </w:pPr>
            <w:r>
              <w:t>Weakly inferred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7EBD9AF1" w14:textId="77777777" w:rsidR="008B0598" w:rsidRDefault="00000000">
            <w:pPr>
              <w:pStyle w:val="Compact"/>
            </w:pPr>
            <w:r>
              <w:t>Weakly inferred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4AEE0DA8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Explicit confidence surface</w:t>
            </w:r>
          </w:p>
        </w:tc>
      </w:tr>
      <w:tr w:rsidR="008B0598" w14:paraId="0531DD8D" w14:textId="77777777" w:rsidTr="00CC7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62AEB357" w14:textId="77777777" w:rsidR="008B0598" w:rsidRDefault="00000000">
            <w:pPr>
              <w:pStyle w:val="Compact"/>
            </w:pPr>
            <w:r>
              <w:t>Interpretability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6322F695" w14:textId="77777777" w:rsidR="008B0598" w:rsidRDefault="00000000">
            <w:pPr>
              <w:pStyle w:val="Compact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F5A9422" w14:textId="77777777" w:rsidR="008B0598" w:rsidRDefault="00000000">
            <w:pPr>
              <w:pStyle w:val="Compact"/>
            </w:pPr>
            <w:r>
              <w:t>Low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60F1CCAB" w14:textId="77777777" w:rsidR="008B0598" w:rsidRDefault="00000000">
            <w:pPr>
              <w:pStyle w:val="Compact"/>
            </w:pPr>
            <w:r>
              <w:t>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3745A0AD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Moderate–High (hybrid)</w:t>
            </w:r>
          </w:p>
        </w:tc>
      </w:tr>
      <w:tr w:rsidR="008B0598" w14:paraId="2AADFC97" w14:textId="77777777" w:rsidTr="00CC7C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650D0F63" w14:textId="77777777" w:rsidR="008B0598" w:rsidRDefault="00000000">
            <w:pPr>
              <w:pStyle w:val="Compact"/>
            </w:pPr>
            <w:r>
              <w:t>Execution Alignment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41142667" w14:textId="77777777" w:rsidR="008B0598" w:rsidRDefault="00000000">
            <w:pPr>
              <w:pStyle w:val="Compact"/>
            </w:pPr>
            <w:r>
              <w:t>Manual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D12044D" w14:textId="77777777" w:rsidR="008B0598" w:rsidRDefault="00000000">
            <w:pPr>
              <w:pStyle w:val="Compact"/>
            </w:pPr>
            <w:r>
              <w:t>Often ignored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773BD15D" w14:textId="77777777" w:rsidR="008B0598" w:rsidRDefault="00000000">
            <w:pPr>
              <w:pStyle w:val="Compact"/>
            </w:pPr>
            <w:r>
              <w:t>Often ignored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4CDBE35B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End-to-end designed</w:t>
            </w:r>
          </w:p>
        </w:tc>
      </w:tr>
      <w:tr w:rsidR="008B0598" w14:paraId="742C1BE6" w14:textId="77777777" w:rsidTr="00CC7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6FC00139" w14:textId="77777777" w:rsidR="008B0598" w:rsidRDefault="00000000">
            <w:pPr>
              <w:pStyle w:val="Compact"/>
            </w:pPr>
            <w:r>
              <w:t>Hardware Efficiency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33FBD5C7" w14:textId="77777777" w:rsidR="008B0598" w:rsidRDefault="00000000">
            <w:pPr>
              <w:pStyle w:val="Compact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F4506B0" w14:textId="77777777" w:rsidR="008B0598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761E6E24" w14:textId="77777777" w:rsidR="008B0598" w:rsidRDefault="00000000">
            <w:pPr>
              <w:pStyle w:val="Compact"/>
            </w:pPr>
            <w:r>
              <w:t>Low–Moderate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087463FA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High (GPU-linear)</w:t>
            </w:r>
          </w:p>
        </w:tc>
      </w:tr>
      <w:tr w:rsidR="008B0598" w14:paraId="07A48012" w14:textId="77777777" w:rsidTr="00CC7C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5B373B97" w14:textId="77777777" w:rsidR="008B0598" w:rsidRDefault="00000000">
            <w:pPr>
              <w:pStyle w:val="Compact"/>
            </w:pPr>
            <w:r>
              <w:t>Benchmark Suitability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0" w:type="dxa"/>
          </w:tcPr>
          <w:p w14:paraId="70F60591" w14:textId="77777777" w:rsidR="008B0598" w:rsidRDefault="00000000">
            <w:pPr>
              <w:pStyle w:val="Compact"/>
            </w:pPr>
            <w:r>
              <w:t>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940733A" w14:textId="77777777" w:rsidR="008B0598" w:rsidRDefault="00000000">
            <w:pPr>
              <w:pStyle w:val="Compact"/>
            </w:pPr>
            <w:r>
              <w:t>Medium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85" w:type="dxa"/>
          </w:tcPr>
          <w:p w14:paraId="2891531C" w14:textId="77777777" w:rsidR="008B0598" w:rsidRDefault="00000000">
            <w:pPr>
              <w:pStyle w:val="Compact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24" w:type="dxa"/>
          </w:tcPr>
          <w:p w14:paraId="6A2E273F" w14:textId="77777777" w:rsidR="008B0598" w:rsidRDefault="00000000">
            <w:pPr>
              <w:pStyle w:val="Compact"/>
            </w:pPr>
            <w:r>
              <w:rPr>
                <w:b/>
                <w:bCs/>
              </w:rPr>
              <w:t>High (reference system)</w:t>
            </w:r>
          </w:p>
        </w:tc>
      </w:tr>
    </w:tbl>
    <w:p w14:paraId="4CD1E065" w14:textId="77777777" w:rsidR="008B0598" w:rsidRDefault="00000000">
      <w:r>
        <w:pict w14:anchorId="4A244DCE">
          <v:rect id="_x0000_i1041" style="width:0;height:1.5pt" o:hralign="center" o:hrstd="t" o:hr="t"/>
        </w:pict>
      </w:r>
    </w:p>
    <w:p w14:paraId="2A9A62D3" w14:textId="77777777" w:rsidR="008B0598" w:rsidRDefault="00000000">
      <w:pPr>
        <w:pStyle w:val="FirstParagraph"/>
      </w:pPr>
      <w:r>
        <w:rPr>
          <w:i/>
          <w:iCs/>
        </w:rPr>
        <w:t>Appendices A and B are intended to make CondorIntelligence directly usable as a comparative benchmark for neural trading system research and development.</w:t>
      </w:r>
      <w:bookmarkEnd w:id="0"/>
      <w:bookmarkEnd w:id="30"/>
    </w:p>
    <w:sectPr w:rsidR="008B05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AEBDC" w14:textId="77777777" w:rsidR="006C7291" w:rsidRDefault="006C7291" w:rsidP="00CC7C5B">
      <w:pPr>
        <w:spacing w:after="0"/>
      </w:pPr>
      <w:r>
        <w:separator/>
      </w:r>
    </w:p>
  </w:endnote>
  <w:endnote w:type="continuationSeparator" w:id="0">
    <w:p w14:paraId="42865527" w14:textId="77777777" w:rsidR="006C7291" w:rsidRDefault="006C7291" w:rsidP="00CC7C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19F89" w14:textId="77777777" w:rsidR="00CC7C5B" w:rsidRDefault="00CC7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9918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7D0062" w14:textId="31767008" w:rsidR="00CC7C5B" w:rsidRDefault="00CC7C5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13, 2026</w:t>
        </w:r>
      </w:p>
    </w:sdtContent>
  </w:sdt>
  <w:p w14:paraId="71288FDB" w14:textId="77777777" w:rsidR="00CC7C5B" w:rsidRDefault="00CC7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1C9A" w14:textId="77777777" w:rsidR="00CC7C5B" w:rsidRDefault="00CC7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F86C" w14:textId="77777777" w:rsidR="006C7291" w:rsidRDefault="006C7291" w:rsidP="00CC7C5B">
      <w:pPr>
        <w:spacing w:after="0"/>
      </w:pPr>
      <w:r>
        <w:separator/>
      </w:r>
    </w:p>
  </w:footnote>
  <w:footnote w:type="continuationSeparator" w:id="0">
    <w:p w14:paraId="25927918" w14:textId="77777777" w:rsidR="006C7291" w:rsidRDefault="006C7291" w:rsidP="00CC7C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5C75" w14:textId="77777777" w:rsidR="00CC7C5B" w:rsidRDefault="00CC7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E336" w14:textId="072F4021" w:rsidR="00CC7C5B" w:rsidRPr="00CC7C5B" w:rsidRDefault="00CC7C5B">
    <w:pPr>
      <w:pStyle w:val="Header"/>
      <w:rPr>
        <w:sz w:val="20"/>
        <w:szCs w:val="20"/>
      </w:rPr>
    </w:pPr>
    <w:r w:rsidRPr="00CC7C5B">
      <w:rPr>
        <w:sz w:val="20"/>
        <w:szCs w:val="20"/>
      </w:rPr>
      <w:t>© 2026 by T. Jerry Mahabub</w:t>
    </w:r>
    <w:r w:rsidRPr="00CC7C5B">
      <w:rPr>
        <w:sz w:val="20"/>
        <w:szCs w:val="20"/>
      </w:rPr>
      <w:tab/>
    </w:r>
    <w:r w:rsidRPr="00CC7C5B">
      <w:rPr>
        <w:b/>
        <w:bCs/>
        <w:color w:val="FF0000"/>
        <w:sz w:val="20"/>
        <w:szCs w:val="20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B9EE" w14:textId="77777777" w:rsidR="00CC7C5B" w:rsidRDefault="00CC7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7EDD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A095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A89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2388341">
    <w:abstractNumId w:val="0"/>
  </w:num>
  <w:num w:numId="2" w16cid:durableId="431828171">
    <w:abstractNumId w:val="1"/>
  </w:num>
  <w:num w:numId="3" w16cid:durableId="2035500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1424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228898">
    <w:abstractNumId w:val="1"/>
  </w:num>
  <w:num w:numId="6" w16cid:durableId="1058822068">
    <w:abstractNumId w:val="1"/>
  </w:num>
  <w:num w:numId="7" w16cid:durableId="1415466734">
    <w:abstractNumId w:val="1"/>
  </w:num>
  <w:num w:numId="8" w16cid:durableId="1622540430">
    <w:abstractNumId w:val="1"/>
  </w:num>
  <w:num w:numId="9" w16cid:durableId="478964751">
    <w:abstractNumId w:val="1"/>
  </w:num>
  <w:num w:numId="10" w16cid:durableId="1854299048">
    <w:abstractNumId w:val="1"/>
  </w:num>
  <w:num w:numId="11" w16cid:durableId="1387528389">
    <w:abstractNumId w:val="1"/>
  </w:num>
  <w:num w:numId="12" w16cid:durableId="684525369">
    <w:abstractNumId w:val="1"/>
  </w:num>
  <w:num w:numId="13" w16cid:durableId="775905656">
    <w:abstractNumId w:val="1"/>
  </w:num>
  <w:num w:numId="14" w16cid:durableId="144661587">
    <w:abstractNumId w:val="1"/>
  </w:num>
  <w:num w:numId="15" w16cid:durableId="1038629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72779892">
    <w:abstractNumId w:val="1"/>
  </w:num>
  <w:num w:numId="17" w16cid:durableId="959383502">
    <w:abstractNumId w:val="1"/>
  </w:num>
  <w:num w:numId="18" w16cid:durableId="1867526328">
    <w:abstractNumId w:val="1"/>
  </w:num>
  <w:num w:numId="19" w16cid:durableId="226232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63070073">
    <w:abstractNumId w:val="1"/>
  </w:num>
  <w:num w:numId="21" w16cid:durableId="780615569">
    <w:abstractNumId w:val="1"/>
  </w:num>
  <w:num w:numId="22" w16cid:durableId="531697055">
    <w:abstractNumId w:val="1"/>
  </w:num>
  <w:num w:numId="23" w16cid:durableId="1247298446">
    <w:abstractNumId w:val="1"/>
  </w:num>
  <w:num w:numId="24" w16cid:durableId="1798913834">
    <w:abstractNumId w:val="1"/>
  </w:num>
  <w:num w:numId="25" w16cid:durableId="1074164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99859390">
    <w:abstractNumId w:val="1"/>
  </w:num>
  <w:num w:numId="27" w16cid:durableId="850143705">
    <w:abstractNumId w:val="1"/>
  </w:num>
  <w:num w:numId="28" w16cid:durableId="1348797829">
    <w:abstractNumId w:val="1"/>
  </w:num>
  <w:num w:numId="29" w16cid:durableId="1800757483">
    <w:abstractNumId w:val="1"/>
  </w:num>
  <w:num w:numId="30" w16cid:durableId="453598954">
    <w:abstractNumId w:val="1"/>
  </w:num>
  <w:num w:numId="31" w16cid:durableId="1814591646">
    <w:abstractNumId w:val="1"/>
  </w:num>
  <w:num w:numId="32" w16cid:durableId="1998725621">
    <w:abstractNumId w:val="1"/>
  </w:num>
  <w:num w:numId="33" w16cid:durableId="268970428">
    <w:abstractNumId w:val="1"/>
  </w:num>
  <w:num w:numId="34" w16cid:durableId="1504783507">
    <w:abstractNumId w:val="1"/>
  </w:num>
  <w:num w:numId="35" w16cid:durableId="1351833582">
    <w:abstractNumId w:val="1"/>
  </w:num>
  <w:num w:numId="36" w16cid:durableId="2256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98"/>
    <w:rsid w:val="0018189D"/>
    <w:rsid w:val="0025208F"/>
    <w:rsid w:val="006C7291"/>
    <w:rsid w:val="008B0598"/>
    <w:rsid w:val="00CC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8DC0"/>
  <w15:docId w15:val="{6FF3C720-5F9E-452C-BD65-521CD24C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CC7C5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rsid w:val="00CC7C5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C7C5B"/>
  </w:style>
  <w:style w:type="paragraph" w:styleId="Footer">
    <w:name w:val="footer"/>
    <w:basedOn w:val="Normal"/>
    <w:link w:val="FooterChar"/>
    <w:uiPriority w:val="99"/>
    <w:rsid w:val="00CC7C5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C7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2112</Words>
  <Characters>13752</Characters>
  <Application>Microsoft Office Word</Application>
  <DocSecurity>0</DocSecurity>
  <Lines>429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FIGHT THE DEMONS</dc:creator>
  <cp:keywords/>
  <cp:lastModifiedBy>FIGHT THE DEMONS</cp:lastModifiedBy>
  <cp:revision>2</cp:revision>
  <dcterms:created xsi:type="dcterms:W3CDTF">2026-01-14T02:30:00Z</dcterms:created>
  <dcterms:modified xsi:type="dcterms:W3CDTF">2026-01-14T02:30:00Z</dcterms:modified>
</cp:coreProperties>
</file>