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DBBA" w14:textId="2F9F31FF" w:rsidR="0056101E" w:rsidRPr="00F169F6" w:rsidRDefault="0056101E" w:rsidP="00561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 Figures Are and How to Interpret Each One</w:t>
      </w:r>
    </w:p>
    <w:p w14:paraId="44A03800" w14:textId="07EC28E3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31 PNG figures:</w:t>
      </w:r>
    </w:p>
    <w:p w14:paraId="51913223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pairwise_matrix.png</w:t>
      </w:r>
    </w:p>
    <w:p w14:paraId="4A3D5642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ranking_summary.png</w:t>
      </w:r>
    </w:p>
    <w:p w14:paraId="2E23113F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model_radar.png</w:t>
      </w:r>
    </w:p>
    <w:p w14:paraId="12596D9D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divergence_metrics.png</w:t>
      </w:r>
    </w:p>
    <w:p w14:paraId="0BCEDDB4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importance_comparison.png</w:t>
      </w:r>
    </w:p>
    <w:p w14:paraId="1A1C08AD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importance_heatmap_epoch_3_013026.png</w:t>
      </w:r>
    </w:p>
    <w:p w14:paraId="408596DC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importance_heatmap_epoch_4_013026.png</w:t>
      </w:r>
    </w:p>
    <w:p w14:paraId="5FF950BC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importance_heatmap_epoch_5_013026.png</w:t>
      </w:r>
    </w:p>
    <w:p w14:paraId="7A9B1BD4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decision_tree_epoch_3_013026.png</w:t>
      </w:r>
    </w:p>
    <w:p w14:paraId="2B87848F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decision_tree_epoch_4_013026.png</w:t>
      </w:r>
    </w:p>
    <w:p w14:paraId="08F53533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decision_tree_epoch_5_013026.png</w:t>
      </w:r>
    </w:p>
    <w:p w14:paraId="4206916F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stability_epoch_3_013026_vs_epoch_4_013026.png</w:t>
      </w:r>
    </w:p>
    <w:p w14:paraId="11063A1A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stability_epoch_3_013026_vs_epoch_5_013026.png</w:t>
      </w:r>
    </w:p>
    <w:p w14:paraId="36EFA4B4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stability_epoch_4_013026_vs_epoch_5_013026.png</w:t>
      </w:r>
    </w:p>
    <w:p w14:paraId="228E5C24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gradient_saliency.png</w:t>
      </w:r>
    </w:p>
    <w:p w14:paraId="4A71A73F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gradient_alignment.png</w:t>
      </w:r>
    </w:p>
    <w:p w14:paraId="0529F162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shap_comparison.png</w:t>
      </w:r>
    </w:p>
    <w:p w14:paraId="351DF9BE" w14:textId="77777777" w:rsidR="0056101E" w:rsidRPr="00F169F6" w:rsidRDefault="0056101E" w:rsidP="0056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mutual_information.png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19–28) </w:t>
      </w: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output_dist_*.png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(10 heads)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29–31) </w:t>
      </w: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fisher_comparison_*.png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(3 pairs)</w:t>
      </w:r>
    </w:p>
    <w:p w14:paraId="5A02D041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Below is a figure-by-figure interpretation tied to the actual computed results in </w:t>
      </w:r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3_model_</w:t>
      </w:r>
      <w:proofErr w:type="gramStart"/>
      <w:r w:rsidRPr="00F169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comparison.json</w:t>
      </w:r>
      <w:proofErr w:type="gram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FC2C79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pict w14:anchorId="1BF22FC6">
          <v:rect id="_x0000_i1025" style="width:0;height:1.5pt" o:hralign="center" o:hrstd="t" o:hr="t" fillcolor="#a0a0a0" stroked="f"/>
        </w:pict>
      </w:r>
    </w:p>
    <w:p w14:paraId="3D42F626" w14:textId="77777777" w:rsidR="0056101E" w:rsidRPr="00F169F6" w:rsidRDefault="0056101E" w:rsidP="00BD1C8D">
      <w:pPr>
        <w:pStyle w:val="Heading2"/>
        <w:rPr>
          <w:rFonts w:eastAsia="Times New Roman"/>
        </w:rPr>
      </w:pPr>
      <w:r w:rsidRPr="00F169F6">
        <w:rPr>
          <w:rFonts w:eastAsia="Times New Roman"/>
        </w:rPr>
        <w:t xml:space="preserve">FIGURE 1 — </w:t>
      </w:r>
      <w:r w:rsidRPr="00F169F6">
        <w:rPr>
          <w:rFonts w:ascii="Courier New" w:eastAsia="Times New Roman" w:hAnsi="Courier New" w:cs="Courier New"/>
          <w:sz w:val="20"/>
          <w:szCs w:val="20"/>
        </w:rPr>
        <w:t>pairwise_matrix.png</w:t>
      </w:r>
      <w:r w:rsidRPr="00F169F6">
        <w:rPr>
          <w:rFonts w:eastAsia="Times New Roman"/>
        </w:rPr>
        <w:t xml:space="preserve"> (Divergence + Stability Heatmaps)</w:t>
      </w:r>
    </w:p>
    <w:p w14:paraId="4CE9E1A0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shows</w:t>
      </w:r>
    </w:p>
    <w:p w14:paraId="43819E74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A matrix view across the three checkpoints for:</w:t>
      </w:r>
    </w:p>
    <w:p w14:paraId="5EA88E1F" w14:textId="77777777" w:rsidR="0056101E" w:rsidRPr="00F169F6" w:rsidRDefault="0056101E" w:rsidP="00561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feature-importance similarity (cosine / Spearman),</w:t>
      </w:r>
    </w:p>
    <w:p w14:paraId="03612E21" w14:textId="77777777" w:rsidR="0056101E" w:rsidRPr="00F169F6" w:rsidRDefault="0056101E" w:rsidP="00561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distribution divergence (JSD / Wasserstein),</w:t>
      </w:r>
    </w:p>
    <w:p w14:paraId="42336CEC" w14:textId="77777777" w:rsidR="0056101E" w:rsidRPr="00F169F6" w:rsidRDefault="0056101E" w:rsidP="00561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Top-K</w:t>
      </w:r>
      <w:proofErr w:type="gram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overlaps,</w:t>
      </w:r>
    </w:p>
    <w:p w14:paraId="49E677C5" w14:textId="77777777" w:rsidR="0056101E" w:rsidRPr="00F169F6" w:rsidRDefault="0056101E" w:rsidP="00561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stability diagnostics per output head.</w:t>
      </w:r>
    </w:p>
    <w:p w14:paraId="298D98D5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numeric results (Feature-importance divergence)</w:t>
      </w:r>
    </w:p>
    <w:p w14:paraId="382CFC2B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For each pair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e>
        </m:d>
      </m:oMath>
      <w:r w:rsidRPr="00F169F6">
        <w:rPr>
          <w:rFonts w:ascii="Times New Roman" w:eastAsia="Times New Roman" w:hAnsi="Times New Roman" w:cs="Times New Roman"/>
          <w:kern w:val="0"/>
          <w14:ligatures w14:val="none"/>
        </w:rPr>
        <w:t>, the audit computed:</w:t>
      </w:r>
    </w:p>
    <w:p w14:paraId="30D2E0D4" w14:textId="77777777" w:rsidR="0056101E" w:rsidRPr="00F169F6" w:rsidRDefault="0056101E" w:rsidP="00561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Epoch 3 vs Epoch 4</w:t>
      </w:r>
    </w:p>
    <w:p w14:paraId="2507EB60" w14:textId="77777777" w:rsidR="0056101E" w:rsidRPr="00F169F6" w:rsidRDefault="0056101E" w:rsidP="005610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CosSim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=0.982885,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=0.983994,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JSD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=0.071613,W=0.002771,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Overlap@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5=1.0,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Overlap@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10=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1.0.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BDD8ADB" w14:textId="77777777" w:rsidR="0056101E" w:rsidRPr="00F169F6" w:rsidRDefault="0056101E" w:rsidP="00561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3 vs Epoch 5</w:t>
      </w:r>
    </w:p>
    <w:p w14:paraId="3D24CA40" w14:textId="77777777" w:rsidR="0056101E" w:rsidRPr="00F169F6" w:rsidRDefault="0056101E" w:rsidP="005610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CosSim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=0.972875,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=0.977178,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JSD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=0.095514,W=0.003945,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Overlap@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5=0.8,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Overlap@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10=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0.9.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76FD928" w14:textId="77777777" w:rsidR="0056101E" w:rsidRPr="00F169F6" w:rsidRDefault="0056101E" w:rsidP="00561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Epoch 4 vs Epoch 5</w:t>
      </w:r>
    </w:p>
    <w:p w14:paraId="28EAC08E" w14:textId="77777777" w:rsidR="0056101E" w:rsidRPr="00F169F6" w:rsidRDefault="0056101E" w:rsidP="005610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CosSim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=0.997703,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=0.996477,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JSD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=0.036754,W=0.001431,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Overlap@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5=0.8,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Overlap@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10=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0.9.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0E9C613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</w:p>
    <w:p w14:paraId="3360B379" w14:textId="77777777" w:rsidR="0056101E" w:rsidRPr="00F169F6" w:rsidRDefault="0056101E" w:rsidP="00561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Epoch 4 and Epoch 5 are </w:t>
      </w: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closest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in “what features matter” (highest </w:t>
      </w:r>
      <w:proofErr w:type="spell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CosSim</w:t>
      </w:r>
      <w:proofErr w:type="spell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/Spearman, lowest JSD/W).</w:t>
      </w:r>
    </w:p>
    <w:p w14:paraId="1FD20A5E" w14:textId="77777777" w:rsidR="0056101E" w:rsidRPr="00F169F6" w:rsidRDefault="0056101E" w:rsidP="00561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Epoch 3 is the </w:t>
      </w: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different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(particularly vs Epoch 5).</w:t>
      </w:r>
    </w:p>
    <w:p w14:paraId="57E470B8" w14:textId="77777777" w:rsidR="0056101E" w:rsidRPr="00F169F6" w:rsidRDefault="0056101E" w:rsidP="00561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But note: “closest in attribution” is not automatically “best” (it can mean both converged to the same heuristic, including a potentially brittle one).</w:t>
      </w:r>
    </w:p>
    <w:p w14:paraId="71C52200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pict w14:anchorId="351F8417">
          <v:rect id="_x0000_i1026" style="width:0;height:1.5pt" o:hralign="center" o:hrstd="t" o:hr="t" fillcolor="#a0a0a0" stroked="f"/>
        </w:pict>
      </w:r>
    </w:p>
    <w:p w14:paraId="32B64E11" w14:textId="77777777" w:rsidR="0056101E" w:rsidRPr="00F169F6" w:rsidRDefault="0056101E" w:rsidP="00BD1C8D">
      <w:pPr>
        <w:pStyle w:val="Heading2"/>
        <w:rPr>
          <w:rFonts w:eastAsia="Times New Roman"/>
        </w:rPr>
      </w:pPr>
      <w:r w:rsidRPr="00F169F6">
        <w:rPr>
          <w:rFonts w:eastAsia="Times New Roman"/>
        </w:rPr>
        <w:t xml:space="preserve">FIGURE 2 — </w:t>
      </w:r>
      <w:r w:rsidRPr="00F169F6">
        <w:rPr>
          <w:rFonts w:ascii="Courier New" w:eastAsia="Times New Roman" w:hAnsi="Courier New" w:cs="Courier New"/>
          <w:sz w:val="20"/>
          <w:szCs w:val="20"/>
        </w:rPr>
        <w:t>ranking_summary.png</w:t>
      </w:r>
      <w:r w:rsidRPr="00F169F6">
        <w:rPr>
          <w:rFonts w:eastAsia="Times New Roman"/>
        </w:rPr>
        <w:t xml:space="preserve"> (Tool’s Composite Score)</w:t>
      </w:r>
    </w:p>
    <w:p w14:paraId="16DDA397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shows</w:t>
      </w:r>
    </w:p>
    <w:p w14:paraId="4FD9A149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A bar chart of each model’s total score (the tool produced a tie in the exported JSON).</w:t>
      </w:r>
    </w:p>
    <w:p w14:paraId="6B0D47A8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ties here</w:t>
      </w:r>
    </w:p>
    <w:p w14:paraId="7782E593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The JSON shows each model’s “</w:t>
      </w:r>
      <w:proofErr w:type="spell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total_score</w:t>
      </w:r>
      <w:proofErr w:type="spell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= 12”. This is a </w:t>
      </w: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limitation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of coarse binning: when three models all satisfy thresholds similarly, a discrete scoring rubric will tie.</w:t>
      </w:r>
    </w:p>
    <w:p w14:paraId="73AE27D1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fix (recommended)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br/>
        <w:t>Replace discrete bins with a continuous scalar objective:</w:t>
      </w:r>
    </w:p>
    <w:p w14:paraId="7B3A8105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Score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α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Balance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(M)+β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Consistency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(M)+γ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Fidelity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(M)+δ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Robustness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(M),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E74A603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with continuous sub-scores defined below in Section 8.</w:t>
      </w:r>
    </w:p>
    <w:p w14:paraId="2C118B0C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51B32EF">
          <v:rect id="_x0000_i1027" style="width:0;height:1.5pt" o:hralign="center" o:hrstd="t" o:hr="t" fillcolor="#a0a0a0" stroked="f"/>
        </w:pict>
      </w:r>
    </w:p>
    <w:p w14:paraId="3810098D" w14:textId="77777777" w:rsidR="0056101E" w:rsidRPr="00F169F6" w:rsidRDefault="0056101E" w:rsidP="00BD1C8D">
      <w:pPr>
        <w:pStyle w:val="Heading2"/>
        <w:rPr>
          <w:rFonts w:eastAsia="Times New Roman"/>
        </w:rPr>
      </w:pPr>
      <w:r w:rsidRPr="00F169F6">
        <w:rPr>
          <w:rFonts w:eastAsia="Times New Roman"/>
        </w:rPr>
        <w:t xml:space="preserve">FIGURE 3 — </w:t>
      </w:r>
      <w:r w:rsidRPr="00F169F6">
        <w:rPr>
          <w:rFonts w:ascii="Courier New" w:eastAsia="Times New Roman" w:hAnsi="Courier New" w:cs="Courier New"/>
          <w:sz w:val="20"/>
          <w:szCs w:val="20"/>
        </w:rPr>
        <w:t>model_radar.png</w:t>
      </w:r>
      <w:r w:rsidRPr="00F169F6">
        <w:rPr>
          <w:rFonts w:eastAsia="Times New Roman"/>
        </w:rPr>
        <w:t xml:space="preserve"> (Multi-Axis Quality Profile)</w:t>
      </w:r>
    </w:p>
    <w:p w14:paraId="5A4B36EB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shows</w:t>
      </w:r>
    </w:p>
    <w:p w14:paraId="1286C744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Radar chart of:</w:t>
      </w:r>
    </w:p>
    <w:p w14:paraId="579732C6" w14:textId="77777777" w:rsidR="0056101E" w:rsidRPr="00F169F6" w:rsidRDefault="0056101E" w:rsidP="00561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feature balance,</w:t>
      </w:r>
    </w:p>
    <w:p w14:paraId="5E83C32C" w14:textId="77777777" w:rsidR="0056101E" w:rsidRPr="00F169F6" w:rsidRDefault="0056101E" w:rsidP="00561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interpretability (surrogate fidelity),</w:t>
      </w:r>
    </w:p>
    <w:p w14:paraId="7FE368BD" w14:textId="77777777" w:rsidR="0056101E" w:rsidRPr="00F169F6" w:rsidRDefault="0056101E" w:rsidP="00561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attribution consistency,</w:t>
      </w:r>
    </w:p>
    <w:p w14:paraId="5236213B" w14:textId="77777777" w:rsidR="0056101E" w:rsidRPr="00F169F6" w:rsidRDefault="0056101E" w:rsidP="00561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output stability proxies,</w:t>
      </w:r>
    </w:p>
    <w:p w14:paraId="01A5B6F8" w14:textId="77777777" w:rsidR="0056101E" w:rsidRPr="00F169F6" w:rsidRDefault="0056101E" w:rsidP="00561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temporal balance.</w:t>
      </w:r>
    </w:p>
    <w:p w14:paraId="4D68F619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observed pattern</w:t>
      </w:r>
    </w:p>
    <w:p w14:paraId="4EB60B27" w14:textId="77777777" w:rsidR="0056101E" w:rsidRPr="00F169F6" w:rsidRDefault="0056101E" w:rsidP="00561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Epoch 3 has </w:t>
      </w: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feature balance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(highest entropy / lowest dominance).</w:t>
      </w:r>
    </w:p>
    <w:p w14:paraId="38D6B5F4" w14:textId="77777777" w:rsidR="0056101E" w:rsidRPr="00F169F6" w:rsidRDefault="0056101E" w:rsidP="00561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Epoch 4 has </w:t>
      </w: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attribution consistency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(SHAP vs Permutation </w:t>
      </w:r>
      <w:proofErr w:type="gram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overlap = 100%).</w:t>
      </w:r>
    </w:p>
    <w:p w14:paraId="200F22DD" w14:textId="77777777" w:rsidR="0056101E" w:rsidRPr="00F169F6" w:rsidRDefault="0056101E" w:rsidP="00561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Epoch 5 has the </w:t>
      </w: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 surrogate fidelity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(but also the most concentrated </w:t>
      </w:r>
      <w:proofErr w:type="gram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attributions</w:t>
      </w:r>
      <w:proofErr w:type="gram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FB94E39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pict w14:anchorId="4F7DC6BA">
          <v:rect id="_x0000_i1028" style="width:0;height:1.5pt" o:hralign="center" o:hrstd="t" o:hr="t" fillcolor="#a0a0a0" stroked="f"/>
        </w:pict>
      </w:r>
    </w:p>
    <w:p w14:paraId="02FAEE07" w14:textId="77777777" w:rsidR="0056101E" w:rsidRPr="00F169F6" w:rsidRDefault="0056101E" w:rsidP="00BD1C8D">
      <w:pPr>
        <w:pStyle w:val="Heading2"/>
        <w:rPr>
          <w:rFonts w:eastAsia="Times New Roman"/>
        </w:rPr>
      </w:pPr>
      <w:r w:rsidRPr="00F169F6">
        <w:rPr>
          <w:rFonts w:eastAsia="Times New Roman"/>
        </w:rPr>
        <w:t xml:space="preserve">FIGURE 4 — </w:t>
      </w:r>
      <w:r w:rsidRPr="00F169F6">
        <w:rPr>
          <w:rFonts w:ascii="Courier New" w:eastAsia="Times New Roman" w:hAnsi="Courier New" w:cs="Courier New"/>
          <w:sz w:val="20"/>
          <w:szCs w:val="20"/>
        </w:rPr>
        <w:t>divergence_metrics.png</w:t>
      </w:r>
      <w:r w:rsidRPr="00F169F6">
        <w:rPr>
          <w:rFonts w:eastAsia="Times New Roman"/>
        </w:rPr>
        <w:t xml:space="preserve"> (Pairwise Bars)</w:t>
      </w:r>
    </w:p>
    <w:p w14:paraId="6F8A25D5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shows</w:t>
      </w:r>
    </w:p>
    <w:p w14:paraId="21DA4B6D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Pairwise comparisons across </w:t>
      </w:r>
      <w:proofErr w:type="spell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CosSim</w:t>
      </w:r>
      <w:proofErr w:type="spell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, Spearman, JSD, Wasserstein, </w:t>
      </w:r>
      <w:proofErr w:type="gram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Top-K</w:t>
      </w:r>
      <w:proofErr w:type="gram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overlap.</w:t>
      </w:r>
    </w:p>
    <w:p w14:paraId="4E8C667E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Decision-relevant takeaways</w:t>
      </w:r>
    </w:p>
    <w:p w14:paraId="7B44DE11" w14:textId="77777777" w:rsidR="0056101E" w:rsidRPr="00F169F6" w:rsidRDefault="0056101E" w:rsidP="00561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Epoch 4 vs Epoch 5 is the most “aligned” pair (near-identical ranking geometry).</w:t>
      </w:r>
    </w:p>
    <w:p w14:paraId="1C081A67" w14:textId="77777777" w:rsidR="0056101E" w:rsidRPr="00F169F6" w:rsidRDefault="0056101E" w:rsidP="00561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Epoch 3 is more “distinct,” indicating meaningful training evolution between 3 → 4/5.</w:t>
      </w:r>
    </w:p>
    <w:p w14:paraId="7DE9AE5E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pict w14:anchorId="273DA77C">
          <v:rect id="_x0000_i1029" style="width:0;height:1.5pt" o:hralign="center" o:hrstd="t" o:hr="t" fillcolor="#a0a0a0" stroked="f"/>
        </w:pict>
      </w:r>
    </w:p>
    <w:p w14:paraId="08D33AE5" w14:textId="77777777" w:rsidR="0056101E" w:rsidRPr="00F169F6" w:rsidRDefault="0056101E" w:rsidP="00BD1C8D">
      <w:pPr>
        <w:pStyle w:val="Heading2"/>
        <w:rPr>
          <w:rFonts w:eastAsia="Times New Roman"/>
        </w:rPr>
      </w:pPr>
      <w:r w:rsidRPr="00F169F6">
        <w:rPr>
          <w:rFonts w:eastAsia="Times New Roman"/>
        </w:rPr>
        <w:t xml:space="preserve">FIGURE 5 — </w:t>
      </w:r>
      <w:r w:rsidRPr="00F169F6">
        <w:rPr>
          <w:rFonts w:ascii="Courier New" w:eastAsia="Times New Roman" w:hAnsi="Courier New" w:cs="Courier New"/>
          <w:sz w:val="20"/>
          <w:szCs w:val="20"/>
        </w:rPr>
        <w:t>importance_comparison.png</w:t>
      </w:r>
      <w:r w:rsidRPr="00F169F6">
        <w:rPr>
          <w:rFonts w:eastAsia="Times New Roman"/>
        </w:rPr>
        <w:t xml:space="preserve"> (Top Features Across Models)</w:t>
      </w:r>
    </w:p>
    <w:p w14:paraId="2A8728A7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shows</w:t>
      </w:r>
    </w:p>
    <w:p w14:paraId="1E2F50C2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Side-by-side comparison of global permutation importances.</w:t>
      </w:r>
    </w:p>
    <w:p w14:paraId="1839DDE6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Actual </w:t>
      </w:r>
      <w:proofErr w:type="gramStart"/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top-5</w:t>
      </w:r>
      <w:proofErr w:type="gramEnd"/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permutation importances (Global)</w:t>
      </w:r>
    </w:p>
    <w:p w14:paraId="7F02759A" w14:textId="77777777" w:rsidR="0056101E" w:rsidRPr="00F169F6" w:rsidRDefault="0056101E" w:rsidP="00561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Epoch 3 </w:t>
      </w:r>
      <w:proofErr w:type="gram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6685DD" w14:textId="77777777" w:rsidR="0056101E" w:rsidRPr="00F169F6" w:rsidRDefault="0056101E" w:rsidP="005610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ivr</m:t>
              </m:r>
              <w:proofErr w:type="spellEnd"/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θ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pressure_down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gap_risk_score</m:t>
              </m:r>
              <w:proofErr w:type="spellEnd"/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42A3EF0" w14:textId="77777777" w:rsidR="0056101E" w:rsidRPr="00F169F6" w:rsidRDefault="0056101E" w:rsidP="00561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Epoch 4 </w:t>
      </w:r>
      <w:proofErr w:type="gram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BD33E4" w14:textId="77777777" w:rsidR="0056101E" w:rsidRPr="00F169F6" w:rsidRDefault="0056101E" w:rsidP="005610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ivr</m:t>
              </m:r>
              <w:proofErr w:type="spellEnd"/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θ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pressure_down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gap_risk_score</m:t>
              </m:r>
              <w:proofErr w:type="spellEnd"/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C7C55DF" w14:textId="77777777" w:rsidR="0056101E" w:rsidRPr="00F169F6" w:rsidRDefault="0056101E" w:rsidP="005610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Epoch 5 </w:t>
      </w:r>
      <w:proofErr w:type="gram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F70DA7" w14:textId="77777777" w:rsidR="0056101E" w:rsidRPr="00F169F6" w:rsidRDefault="0056101E" w:rsidP="005610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ivr</m:t>
              </m:r>
              <w:proofErr w:type="spellEnd"/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θ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pressure_down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pressure_up</m:t>
              </m:r>
              <w:proofErr w:type="spellEnd"/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8D377A3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</w:p>
    <w:p w14:paraId="43A19C5B" w14:textId="77777777" w:rsidR="0056101E" w:rsidRPr="00F169F6" w:rsidRDefault="0056101E" w:rsidP="00561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All models converge on an options-Greek + regime pressure core: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ivr</m:t>
        </m:r>
        <w:proofErr w:type="spellEnd"/>
        <m:r>
          <w:rPr>
            <w:rFonts w:ascii="Cambria Math" w:eastAsia="Times New Roman" w:hAnsi="Cambria Math" w:cs="Times New Roman"/>
            <w:kern w:val="0"/>
            <w14:ligatures w14:val="none"/>
          </w:rPr>
          <m:t>,θ,δ,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pressure_down</m:t>
        </m:r>
      </m:oMath>
      <w:r w:rsidRPr="00F169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F8175E" w14:textId="77777777" w:rsidR="0056101E" w:rsidRPr="00F169F6" w:rsidRDefault="0056101E" w:rsidP="00561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Epoch 3/4 </w:t>
      </w:r>
      <w:proofErr w:type="gram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include</w:t>
      </w:r>
      <w:proofErr w:type="gram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gap_risk_score</w:t>
      </w:r>
      <w:proofErr w:type="spell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, which is directly risk-structural for overnight/event jump risk.</w:t>
      </w:r>
    </w:p>
    <w:p w14:paraId="2DA52F7D" w14:textId="77777777" w:rsidR="0056101E" w:rsidRPr="00F169F6" w:rsidRDefault="0056101E" w:rsidP="005610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Epoch 5 replaces that with </w:t>
      </w:r>
      <w:proofErr w:type="spellStart"/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pressure_up</w:t>
      </w:r>
      <w:proofErr w:type="spell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, suggesting a more directional/flow-tilted heuristic.</w:t>
      </w:r>
    </w:p>
    <w:p w14:paraId="351BAD0C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pict w14:anchorId="034F18B1">
          <v:rect id="_x0000_i1030" style="width:0;height:1.5pt" o:hralign="center" o:hrstd="t" o:hr="t" fillcolor="#a0a0a0" stroked="f"/>
        </w:pict>
      </w:r>
    </w:p>
    <w:p w14:paraId="01CA68A6" w14:textId="77777777" w:rsidR="0056101E" w:rsidRPr="00F169F6" w:rsidRDefault="0056101E" w:rsidP="00BD1C8D">
      <w:pPr>
        <w:pStyle w:val="Heading2"/>
        <w:rPr>
          <w:rFonts w:eastAsia="Times New Roman"/>
        </w:rPr>
      </w:pPr>
      <w:r w:rsidRPr="00F169F6">
        <w:rPr>
          <w:rFonts w:eastAsia="Times New Roman"/>
        </w:rPr>
        <w:t xml:space="preserve">FIGURE 6–8 — </w:t>
      </w:r>
      <w:r w:rsidRPr="00F169F6">
        <w:rPr>
          <w:rFonts w:ascii="Courier New" w:eastAsia="Times New Roman" w:hAnsi="Courier New" w:cs="Courier New"/>
          <w:sz w:val="20"/>
          <w:szCs w:val="20"/>
        </w:rPr>
        <w:t>importance_heatmap_epoch_*.png</w:t>
      </w:r>
      <w:r w:rsidRPr="00F169F6">
        <w:rPr>
          <w:rFonts w:eastAsia="Times New Roman"/>
        </w:rPr>
        <w:t xml:space="preserve"> (Per-Head Importance Structure)</w:t>
      </w:r>
    </w:p>
    <w:p w14:paraId="4D1D6020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they show</w:t>
      </w:r>
    </w:p>
    <w:p w14:paraId="7AFD91D4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Heatmaps of feature importance by head.</w:t>
      </w:r>
    </w:p>
    <w:p w14:paraId="6CD05990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per-head pattern (ROI, DTE, MAX_LOSS)</w:t>
      </w:r>
    </w:p>
    <w:p w14:paraId="1008EAB8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Epoch progression shows increasing dominance of </w:t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ivr</m:t>
        </m:r>
      </m:oMath>
      <w:r w:rsidRPr="00F169F6">
        <w:rPr>
          <w:rFonts w:ascii="Times New Roman" w:eastAsia="Times New Roman" w:hAnsi="Times New Roman" w:cs="Times New Roman"/>
          <w:kern w:val="0"/>
          <w14:ligatures w14:val="none"/>
        </w:rPr>
        <w:t>in</w:t>
      </w:r>
      <w:proofErr w:type="spell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ROI/DTE/MAX_LOSS heads:</w:t>
      </w:r>
    </w:p>
    <w:p w14:paraId="41213CA2" w14:textId="77777777" w:rsidR="0056101E" w:rsidRPr="00F169F6" w:rsidRDefault="0056101E" w:rsidP="005610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ROI head top </w:t>
      </w:r>
      <w:proofErr w:type="gram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feature </w:t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ivr</m:t>
        </m:r>
      </m:oMath>
      <w:r w:rsidRPr="00F169F6">
        <w:rPr>
          <w:rFonts w:ascii="Times New Roman" w:eastAsia="Times New Roman" w:hAnsi="Times New Roman" w:cs="Times New Roman"/>
          <w:kern w:val="0"/>
          <w14:ligatures w14:val="none"/>
        </w:rPr>
        <w:t>importance</w:t>
      </w:r>
      <w:proofErr w:type="spellEnd"/>
      <w:proofErr w:type="gram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1FD7A3" w14:textId="77777777" w:rsidR="0056101E" w:rsidRPr="00F169F6" w:rsidRDefault="0056101E" w:rsidP="005610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12.13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(E3)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16.96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(E4)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18.75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(E5)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7A05850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</w:p>
    <w:p w14:paraId="0D68D593" w14:textId="77777777" w:rsidR="0056101E" w:rsidRPr="00F169F6" w:rsidRDefault="0056101E" w:rsidP="00561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Training is increasingly letting </w:t>
      </w: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IV regime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control risk-critical heads.</w:t>
      </w:r>
    </w:p>
    <w:p w14:paraId="09D61A15" w14:textId="77777777" w:rsidR="0056101E" w:rsidRPr="00F169F6" w:rsidRDefault="0056101E" w:rsidP="005610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This can be good (IVR is a central state variable for options), but too much dominance can reduce adaptability when IVR is noisy, stale, or regime-shifting.</w:t>
      </w:r>
    </w:p>
    <w:p w14:paraId="75B35B83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pict w14:anchorId="0C72ED36">
          <v:rect id="_x0000_i1031" style="width:0;height:1.5pt" o:hralign="center" o:hrstd="t" o:hr="t" fillcolor="#a0a0a0" stroked="f"/>
        </w:pict>
      </w:r>
    </w:p>
    <w:p w14:paraId="7CCAA028" w14:textId="77777777" w:rsidR="0056101E" w:rsidRPr="00F169F6" w:rsidRDefault="0056101E" w:rsidP="00BD1C8D">
      <w:pPr>
        <w:pStyle w:val="Heading2"/>
        <w:rPr>
          <w:rFonts w:eastAsia="Times New Roman"/>
        </w:rPr>
      </w:pPr>
      <w:r w:rsidRPr="00F169F6">
        <w:rPr>
          <w:rFonts w:eastAsia="Times New Roman"/>
        </w:rPr>
        <w:t>FIGURE 9–11 — Decision Trees (</w:t>
      </w:r>
      <w:proofErr w:type="spellStart"/>
      <w:r w:rsidRPr="00F169F6">
        <w:rPr>
          <w:rFonts w:ascii="Courier New" w:eastAsia="Times New Roman" w:hAnsi="Courier New" w:cs="Courier New"/>
          <w:sz w:val="20"/>
          <w:szCs w:val="20"/>
        </w:rPr>
        <w:t>decision_tree_epoch</w:t>
      </w:r>
      <w:proofErr w:type="spellEnd"/>
      <w:r w:rsidRPr="00F169F6">
        <w:rPr>
          <w:rFonts w:ascii="Courier New" w:eastAsia="Times New Roman" w:hAnsi="Courier New" w:cs="Courier New"/>
          <w:sz w:val="20"/>
          <w:szCs w:val="20"/>
        </w:rPr>
        <w:t>_*.</w:t>
      </w:r>
      <w:proofErr w:type="spellStart"/>
      <w:r w:rsidRPr="00F169F6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F169F6">
        <w:rPr>
          <w:rFonts w:eastAsia="Times New Roman"/>
        </w:rPr>
        <w:t>)</w:t>
      </w:r>
    </w:p>
    <w:p w14:paraId="046F0A35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These are the most interpretable “mechanistic snapshots” of ROI logic.</w:t>
      </w:r>
    </w:p>
    <w:p w14:paraId="32E7477B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Epoch 3 ROI Tree (rules excerpt)</w:t>
      </w:r>
    </w:p>
    <w:p w14:paraId="6DAE044F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Root split:</w:t>
      </w:r>
    </w:p>
    <w:p w14:paraId="47E8479B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ivr</m:t>
          </m:r>
          <w:proofErr w:type="spellEnd"/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≤0.674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50FD75B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Then a meaningful secondary structure appears involving volatility </w:t>
      </w:r>
      <w:proofErr w:type="gram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band</w:t>
      </w:r>
      <w:proofErr w:type="gram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dynamics and friction:</w:t>
      </w:r>
    </w:p>
    <w:p w14:paraId="3BC593ED" w14:textId="77777777" w:rsidR="0056101E" w:rsidRPr="00F169F6" w:rsidRDefault="0056101E" w:rsidP="005610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splits on </w:t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bb_sigma_dyn</m:t>
        </m:r>
      </m:oMath>
      <w:proofErr w:type="spell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</m:oMath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friction_ratio</m:t>
        </m:r>
      </m:oMath>
      <w:proofErr w:type="spell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C8CB15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</w:p>
    <w:p w14:paraId="2323B242" w14:textId="77777777" w:rsidR="0056101E" w:rsidRPr="00F169F6" w:rsidRDefault="0056101E" w:rsidP="00561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Epoch 3 expresses ROI as a function of </w:t>
      </w: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IV regime plus microstructure/volatility geometry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(bandwidth and friction).</w:t>
      </w:r>
    </w:p>
    <w:p w14:paraId="2B7A4859" w14:textId="77777777" w:rsidR="0056101E" w:rsidRPr="00F169F6" w:rsidRDefault="0056101E" w:rsidP="005610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This is closer to “physics of markets”: volatility surface + flow resistance.</w:t>
      </w:r>
    </w:p>
    <w:p w14:paraId="0D3644EB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Epoch 4 ROI Tree (rules excerpt)</w:t>
      </w:r>
    </w:p>
    <w:p w14:paraId="75FEA2E4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Root splits:</w:t>
      </w:r>
    </w:p>
    <w:p w14:paraId="44BBF585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ivr</m:t>
          </m:r>
          <w:proofErr w:type="spellEnd"/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≤0.687,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ivr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≤0.152,δ≤0.654,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log_return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≤-1.541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scaled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9C6D058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</w:p>
    <w:p w14:paraId="5B33C8C9" w14:textId="77777777" w:rsidR="0056101E" w:rsidRPr="00F169F6" w:rsidRDefault="0056101E" w:rsidP="00561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Epoch 4 uses a cleaner “state → response” chain: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IV regime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</m:oMath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delta structure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→</m:t>
        </m:r>
      </m:oMath>
      <w:r w:rsidRPr="00F169F6">
        <w:rPr>
          <w:rFonts w:ascii="Times New Roman" w:eastAsia="Times New Roman" w:hAnsi="Times New Roman" w:cs="Times New Roman"/>
          <w:kern w:val="0"/>
          <w14:ligatures w14:val="none"/>
        </w:rPr>
        <w:t>realized return shock gating.</w:t>
      </w:r>
    </w:p>
    <w:p w14:paraId="6CAABAEE" w14:textId="77777777" w:rsidR="0056101E" w:rsidRPr="00F169F6" w:rsidRDefault="0056101E" w:rsidP="005610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This is consistent with an options desk heuristic: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br/>
        <w:t>“IV regime + delta exposure + recent shock” controls ROI expectation.</w:t>
      </w:r>
    </w:p>
    <w:p w14:paraId="6CD23C96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Epoch 5 ROI Tree (rules excerpt)</w:t>
      </w:r>
    </w:p>
    <w:p w14:paraId="586B37B5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Root splits tighten:</w:t>
      </w:r>
    </w:p>
    <w:p w14:paraId="24450647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lastRenderedPageBreak/>
            <m:t>ivr</m:t>
          </m:r>
          <w:proofErr w:type="spellEnd"/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≤0.496,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ivr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≤0.157,δ≤0.650,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ivr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≤-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0.012.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70E9E60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</w:p>
    <w:p w14:paraId="56DE6E6A" w14:textId="77777777" w:rsidR="0056101E" w:rsidRPr="00F169F6" w:rsidRDefault="0056101E" w:rsidP="00561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Epoch 5 becomes </w:t>
      </w: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IVR-centric and self-referential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(multiple IVR thresholds).</w:t>
      </w:r>
    </w:p>
    <w:p w14:paraId="2E3EB26C" w14:textId="77777777" w:rsidR="0056101E" w:rsidRPr="00F169F6" w:rsidRDefault="0056101E" w:rsidP="005610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This increases surrogate fidelity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F169F6">
        <w:rPr>
          <w:rFonts w:ascii="Times New Roman" w:eastAsia="Times New Roman" w:hAnsi="Times New Roman" w:cs="Times New Roman"/>
          <w:kern w:val="0"/>
          <w14:ligatures w14:val="none"/>
        </w:rPr>
        <w:t>but risks degenerating into a narrow IVR gate.</w:t>
      </w:r>
    </w:p>
    <w:p w14:paraId="364FB1E0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pict w14:anchorId="3002D8DB">
          <v:rect id="_x0000_i1032" style="width:0;height:1.5pt" o:hralign="center" o:hrstd="t" o:hr="t" fillcolor="#a0a0a0" stroked="f"/>
        </w:pict>
      </w:r>
    </w:p>
    <w:p w14:paraId="2A67B3A5" w14:textId="77777777" w:rsidR="0056101E" w:rsidRPr="00F169F6" w:rsidRDefault="0056101E" w:rsidP="00BD1C8D">
      <w:pPr>
        <w:pStyle w:val="Heading2"/>
        <w:rPr>
          <w:rFonts w:eastAsia="Times New Roman"/>
        </w:rPr>
      </w:pPr>
      <w:r w:rsidRPr="00F169F6">
        <w:rPr>
          <w:rFonts w:eastAsia="Times New Roman"/>
        </w:rPr>
        <w:t>FIGURE 12–14 — Stability Plots (</w:t>
      </w:r>
      <w:proofErr w:type="spellStart"/>
      <w:r w:rsidRPr="00F169F6">
        <w:rPr>
          <w:rFonts w:ascii="Courier New" w:eastAsia="Times New Roman" w:hAnsi="Courier New" w:cs="Courier New"/>
          <w:sz w:val="20"/>
          <w:szCs w:val="20"/>
        </w:rPr>
        <w:t>stability_epoch</w:t>
      </w:r>
      <w:proofErr w:type="spellEnd"/>
      <w:r w:rsidRPr="00F169F6">
        <w:rPr>
          <w:rFonts w:ascii="Courier New" w:eastAsia="Times New Roman" w:hAnsi="Courier New" w:cs="Courier New"/>
          <w:sz w:val="20"/>
          <w:szCs w:val="20"/>
        </w:rPr>
        <w:t>_*_vs_*</w:t>
      </w:r>
      <w:r w:rsidRPr="00F169F6">
        <w:rPr>
          <w:rFonts w:eastAsia="Times New Roman"/>
        </w:rPr>
        <w:t>)</w:t>
      </w:r>
    </w:p>
    <w:p w14:paraId="67638F8A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These show per-head MSD, correlation, variance ratio, KS, Wasserstein.</w:t>
      </w:r>
    </w:p>
    <w:p w14:paraId="71868FB9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ROI stability values (per pair)</w:t>
      </w:r>
    </w:p>
    <w:p w14:paraId="5244B04E" w14:textId="77777777" w:rsidR="0056101E" w:rsidRPr="00F169F6" w:rsidRDefault="0056101E" w:rsidP="00561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Epoch 3 vs 4 (ROI):</w:t>
      </w:r>
    </w:p>
    <w:p w14:paraId="302C832B" w14:textId="77777777" w:rsidR="0056101E" w:rsidRPr="00F169F6" w:rsidRDefault="0056101E" w:rsidP="005610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MSD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=0.011109,r=0.01234,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VR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=0.8667,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0.157.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6B0D280" w14:textId="77777777" w:rsidR="0056101E" w:rsidRPr="00F169F6" w:rsidRDefault="0056101E" w:rsidP="0056101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Epoch 4 vs 5 (ROI):</w:t>
      </w:r>
    </w:p>
    <w:p w14:paraId="38885616" w14:textId="77777777" w:rsidR="0056101E" w:rsidRPr="00F169F6" w:rsidRDefault="0056101E" w:rsidP="005610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MSD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=0.012646,r=-0.01799,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VR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=0.9419,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0.106.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15B5ECF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Critical interpretation </w:t>
      </w:r>
      <w:proofErr w:type="gramStart"/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</w:t>
      </w:r>
      <w:proofErr w:type="gramEnd"/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(very important)</w:t>
      </w:r>
    </w:p>
    <w:p w14:paraId="09511CB8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The correlations are near zero across many heads, while divergences of feature importance are extremely </w:t>
      </w:r>
      <w:proofErr w:type="gram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high-agreement</w:t>
      </w:r>
      <w:proofErr w:type="gram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. That combination often means </w:t>
      </w: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of two things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C77971" w14:textId="77777777" w:rsidR="0056101E" w:rsidRPr="00F169F6" w:rsidRDefault="0056101E" w:rsidP="00561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Sample-alignment artifact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: outputs compared across models are not perfectly aligned sample-by-sample (even if they are distributionally similar).</w:t>
      </w:r>
    </w:p>
    <w:p w14:paraId="0A8A992E" w14:textId="77777777" w:rsidR="0056101E" w:rsidRPr="00F169F6" w:rsidRDefault="0056101E" w:rsidP="0056101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Quasi-constant / low-signal output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: if a head’s variance is low or outputs are clipped, correlation becomes unstable and uninformative.</w:t>
      </w:r>
    </w:p>
    <w:p w14:paraId="022324E0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Because your tool is meant to be a precision audit, the </w:t>
      </w:r>
      <w:r w:rsidRPr="00F169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scientific fix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194A4A78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Force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  <m:t xml:space="preserve">identical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  <m:t xml:space="preserve">sample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  <m:t xml:space="preserve">indices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  <m:t xml:space="preserve">across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  <m:t xml:space="preserve">all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  <m:t xml:space="preserve">models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  <m:t xml:space="preserve">and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  <m:t xml:space="preserve">all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  <m:t xml:space="preserve">modules,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  <m:t xml:space="preserve">and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  <m:t xml:space="preserve">persist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  <m:t xml:space="preserve">them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  <m:t xml:space="preserve">into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  <m:t>JSON.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52178DB3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That turns coherence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F169F6">
        <w:rPr>
          <w:rFonts w:ascii="Times New Roman" w:eastAsia="Times New Roman" w:hAnsi="Times New Roman" w:cs="Times New Roman"/>
          <w:kern w:val="0"/>
          <w14:ligatures w14:val="none"/>
        </w:rPr>
        <w:t>into a valid “same-stimulus response” measure.</w:t>
      </w:r>
    </w:p>
    <w:p w14:paraId="6CA3EE08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pict w14:anchorId="784628C8">
          <v:rect id="_x0000_i1033" style="width:0;height:1.5pt" o:hralign="center" o:hrstd="t" o:hr="t" fillcolor="#a0a0a0" stroked="f"/>
        </w:pict>
      </w:r>
    </w:p>
    <w:p w14:paraId="67EF9939" w14:textId="77777777" w:rsidR="0056101E" w:rsidRPr="00F169F6" w:rsidRDefault="0056101E" w:rsidP="00BD1C8D">
      <w:pPr>
        <w:pStyle w:val="Heading2"/>
        <w:rPr>
          <w:rFonts w:eastAsia="Times New Roman"/>
        </w:rPr>
      </w:pPr>
      <w:r w:rsidRPr="00F169F6">
        <w:rPr>
          <w:rFonts w:eastAsia="Times New Roman"/>
        </w:rPr>
        <w:lastRenderedPageBreak/>
        <w:t xml:space="preserve">FIGURE 15 — </w:t>
      </w:r>
      <w:r w:rsidRPr="00F169F6">
        <w:rPr>
          <w:rFonts w:ascii="Courier New" w:eastAsia="Times New Roman" w:hAnsi="Courier New" w:cs="Courier New"/>
          <w:sz w:val="20"/>
          <w:szCs w:val="20"/>
        </w:rPr>
        <w:t>gradient_saliency.png</w:t>
      </w:r>
      <w:r w:rsidRPr="00F169F6">
        <w:rPr>
          <w:rFonts w:eastAsia="Times New Roman"/>
        </w:rPr>
        <w:t xml:space="preserve"> (Feature + Temporal Sensitivity)</w:t>
      </w:r>
    </w:p>
    <w:p w14:paraId="6DD60455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shows</w:t>
      </w:r>
    </w:p>
    <w:p w14:paraId="46712EE9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Which features and which time regions contribute most to gradient magnitude.</w:t>
      </w:r>
    </w:p>
    <w:p w14:paraId="7F216833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Observed temporal shape (all models)</w:t>
      </w:r>
    </w:p>
    <w:p w14:paraId="3FA75846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Temporal saliency is strongly front-loaded: early points in the window dominate, and saliency decays.</w:t>
      </w:r>
    </w:p>
    <w:p w14:paraId="11F25710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</w:p>
    <w:p w14:paraId="1902CE4B" w14:textId="77777777" w:rsidR="0056101E" w:rsidRPr="00F169F6" w:rsidRDefault="0056101E" w:rsidP="00561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The model behaves like a dissipative system with memory decay: </w:t>
      </w:r>
      <w:proofErr w:type="gram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recent-past</w:t>
      </w:r>
      <w:proofErr w:type="gram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segments heavily dominate the Jacobian norm.</w:t>
      </w:r>
    </w:p>
    <w:p w14:paraId="1BB0BFAE" w14:textId="77777777" w:rsidR="0056101E" w:rsidRPr="00F169F6" w:rsidRDefault="0056101E" w:rsidP="005610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This is consistent with an effective </w:t>
      </w: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finite memory kernel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K(t)</m:t>
        </m:r>
      </m:oMath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that decays over the window.</w:t>
      </w:r>
    </w:p>
    <w:p w14:paraId="66B64509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A useful conceptual model:</w:t>
      </w:r>
    </w:p>
    <w:p w14:paraId="79834767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(X(t))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dt,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decays in 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C573227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Definitions</w:t>
      </w:r>
    </w:p>
    <w:p w14:paraId="782BE632" w14:textId="77777777" w:rsidR="0056101E" w:rsidRPr="00F169F6" w:rsidRDefault="0056101E" w:rsidP="00561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(t)</m:t>
        </m:r>
      </m:oMath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: effective temporal kernel for head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</m:t>
        </m:r>
      </m:oMath>
      <w:r w:rsidRPr="00F169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2AF8CF" w14:textId="77777777" w:rsidR="0056101E" w:rsidRPr="00F169F6" w:rsidRDefault="0056101E" w:rsidP="005610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sub>
        </m:sSub>
      </m:oMath>
      <w:r w:rsidRPr="00F169F6">
        <w:rPr>
          <w:rFonts w:ascii="Times New Roman" w:eastAsia="Times New Roman" w:hAnsi="Times New Roman" w:cs="Times New Roman"/>
          <w:kern w:val="0"/>
          <w14:ligatures w14:val="none"/>
        </w:rPr>
        <w:t>: feature transform induced by latent dynamics.</w:t>
      </w:r>
    </w:p>
    <w:p w14:paraId="569805B9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pict w14:anchorId="36976C71">
          <v:rect id="_x0000_i1034" style="width:0;height:1.5pt" o:hralign="center" o:hrstd="t" o:hr="t" fillcolor="#a0a0a0" stroked="f"/>
        </w:pict>
      </w:r>
    </w:p>
    <w:p w14:paraId="212072F6" w14:textId="77777777" w:rsidR="0056101E" w:rsidRPr="00F169F6" w:rsidRDefault="0056101E" w:rsidP="00BD1C8D">
      <w:pPr>
        <w:pStyle w:val="Heading2"/>
        <w:rPr>
          <w:rFonts w:eastAsia="Times New Roman"/>
        </w:rPr>
      </w:pPr>
      <w:r w:rsidRPr="00F169F6">
        <w:rPr>
          <w:rFonts w:eastAsia="Times New Roman"/>
        </w:rPr>
        <w:t xml:space="preserve">FIGURE 16 — </w:t>
      </w:r>
      <w:r w:rsidRPr="00F169F6">
        <w:rPr>
          <w:rFonts w:ascii="Courier New" w:eastAsia="Times New Roman" w:hAnsi="Courier New" w:cs="Courier New"/>
          <w:sz w:val="20"/>
          <w:szCs w:val="20"/>
        </w:rPr>
        <w:t>gradient_alignment.png</w:t>
      </w:r>
      <w:r w:rsidRPr="00F169F6">
        <w:rPr>
          <w:rFonts w:eastAsia="Times New Roman"/>
        </w:rPr>
        <w:t xml:space="preserve"> (Do Models “Look” the Same Way?)</w:t>
      </w:r>
    </w:p>
    <w:p w14:paraId="74E6F84B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shows</w:t>
      </w:r>
    </w:p>
    <w:p w14:paraId="5BD04689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Pairwise gradient alignment values.</w:t>
      </w:r>
    </w:p>
    <w:p w14:paraId="602EE82F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Actual computed alignments</w:t>
      </w:r>
    </w:p>
    <w:p w14:paraId="028E3AEE" w14:textId="77777777" w:rsidR="0056101E" w:rsidRPr="00F169F6" w:rsidRDefault="0056101E" w:rsidP="00561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Epoch 3 vs 4: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0.999015</m:t>
        </m:r>
      </m:oMath>
    </w:p>
    <w:p w14:paraId="2577667F" w14:textId="77777777" w:rsidR="0056101E" w:rsidRPr="00F169F6" w:rsidRDefault="0056101E" w:rsidP="00561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Epoch 3 vs 5: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0.999355</m:t>
        </m:r>
      </m:oMath>
    </w:p>
    <w:p w14:paraId="70A3EC27" w14:textId="77777777" w:rsidR="0056101E" w:rsidRPr="00F169F6" w:rsidRDefault="0056101E" w:rsidP="005610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Epoch 4 vs 5: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0.999489</m:t>
        </m:r>
      </m:oMath>
    </w:p>
    <w:p w14:paraId="5BA79917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</w:p>
    <w:p w14:paraId="47A8EA30" w14:textId="77777777" w:rsidR="0056101E" w:rsidRPr="00F169F6" w:rsidRDefault="0056101E" w:rsidP="00561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Models are nearly identical in </w:t>
      </w:r>
      <w:r w:rsidRPr="00F169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 sensitivity direction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in input space.</w:t>
      </w:r>
    </w:p>
    <w:p w14:paraId="362CFD51" w14:textId="77777777" w:rsidR="0056101E" w:rsidRPr="00F169F6" w:rsidRDefault="0056101E" w:rsidP="0056101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This strongly supports “same learned geometry,” even if some outputs appear decorrelated in the stability plot (again pointing to sample-alignment/correlation-metric limitations).</w:t>
      </w:r>
    </w:p>
    <w:p w14:paraId="76FEEA02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pict w14:anchorId="6A27FCF2">
          <v:rect id="_x0000_i1035" style="width:0;height:1.5pt" o:hralign="center" o:hrstd="t" o:hr="t" fillcolor="#a0a0a0" stroked="f"/>
        </w:pict>
      </w:r>
    </w:p>
    <w:p w14:paraId="2C6449E9" w14:textId="77777777" w:rsidR="0056101E" w:rsidRPr="00F169F6" w:rsidRDefault="0056101E" w:rsidP="00BD1C8D">
      <w:pPr>
        <w:pStyle w:val="Heading2"/>
        <w:rPr>
          <w:rFonts w:ascii="Times New Roman" w:eastAsia="Times New Roman" w:hAnsi="Times New Roman" w:cs="Times New Roman"/>
          <w:sz w:val="48"/>
          <w:szCs w:val="48"/>
        </w:rPr>
      </w:pPr>
      <w:r w:rsidRPr="00F169F6">
        <w:rPr>
          <w:rFonts w:ascii="Times New Roman" w:eastAsia="Times New Roman" w:hAnsi="Times New Roman" w:cs="Times New Roman"/>
          <w:sz w:val="48"/>
          <w:szCs w:val="48"/>
        </w:rPr>
        <w:t xml:space="preserve">FIGURE 17 — </w:t>
      </w:r>
      <w:r w:rsidRPr="00F169F6">
        <w:rPr>
          <w:rFonts w:eastAsia="Times New Roman"/>
        </w:rPr>
        <w:t>shap_comparison.png</w:t>
      </w:r>
    </w:p>
    <w:p w14:paraId="1E743ACD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shows</w:t>
      </w:r>
    </w:p>
    <w:p w14:paraId="6C008510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Mean absolute SHAP values compared across models, plus overlaps with permutation rankings.</w:t>
      </w:r>
    </w:p>
    <w:p w14:paraId="6AFDB8A9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Actual SHAP vs Permutation </w:t>
      </w:r>
      <w:proofErr w:type="gramStart"/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Top-5</w:t>
      </w:r>
      <w:proofErr w:type="gramEnd"/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overlap</w:t>
      </w:r>
    </w:p>
    <w:p w14:paraId="22A2235B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proofErr w:type="gram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from permutation importances and SHAP mean absolute values:</w:t>
      </w:r>
    </w:p>
    <w:p w14:paraId="41332C8E" w14:textId="77777777" w:rsidR="0056101E" w:rsidRPr="00F169F6" w:rsidRDefault="0056101E" w:rsidP="00561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Epoch 3:</w:t>
      </w:r>
    </w:p>
    <w:p w14:paraId="63411CE6" w14:textId="77777777" w:rsidR="0056101E" w:rsidRPr="00F169F6" w:rsidRDefault="0056101E" w:rsidP="005610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Overlap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5(θ,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ivr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δ,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pressure_down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3FE912D" w14:textId="77777777" w:rsidR="0056101E" w:rsidRPr="00F169F6" w:rsidRDefault="0056101E" w:rsidP="00561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Epoch 4:</w:t>
      </w:r>
    </w:p>
    <w:p w14:paraId="68143B38" w14:textId="77777777" w:rsidR="0056101E" w:rsidRPr="00F169F6" w:rsidRDefault="0056101E" w:rsidP="005610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Overlap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5(θ,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ivr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δ,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pressure_down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gap_risk_score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B30C54F" w14:textId="77777777" w:rsidR="0056101E" w:rsidRPr="00F169F6" w:rsidRDefault="0056101E" w:rsidP="005610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Epoch 5:</w:t>
      </w:r>
    </w:p>
    <w:p w14:paraId="490E4C1A" w14:textId="77777777" w:rsidR="0056101E" w:rsidRPr="00F169F6" w:rsidRDefault="0056101E" w:rsidP="005610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Overlap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=4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5(θ,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ivr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δ,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pressure_down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48A6A92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</w:p>
    <w:p w14:paraId="0D2736D0" w14:textId="77777777" w:rsidR="0056101E" w:rsidRPr="00F169F6" w:rsidRDefault="0056101E" w:rsidP="005610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Epoch 4 is the only checkpoint where two different attribution regimes (permutation disruption vs Shapley-style contribution) agree perfectly at the top.</w:t>
      </w:r>
    </w:p>
    <w:p w14:paraId="346E7FE3" w14:textId="77777777" w:rsidR="0056101E" w:rsidRPr="00F169F6" w:rsidRDefault="0056101E" w:rsidP="005610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That is a major marker of interpretability stability.</w:t>
      </w:r>
    </w:p>
    <w:p w14:paraId="0E2CF565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pict w14:anchorId="1B1FBE36">
          <v:rect id="_x0000_i1036" style="width:0;height:1.5pt" o:hralign="center" o:hrstd="t" o:hr="t" fillcolor="#a0a0a0" stroked="f"/>
        </w:pict>
      </w:r>
    </w:p>
    <w:p w14:paraId="6DCED391" w14:textId="77777777" w:rsidR="0056101E" w:rsidRPr="00F169F6" w:rsidRDefault="0056101E" w:rsidP="00BD1C8D">
      <w:pPr>
        <w:pStyle w:val="Heading2"/>
        <w:rPr>
          <w:rFonts w:ascii="Times New Roman" w:eastAsia="Times New Roman" w:hAnsi="Times New Roman" w:cs="Times New Roman"/>
          <w:sz w:val="48"/>
          <w:szCs w:val="48"/>
        </w:rPr>
      </w:pPr>
      <w:r w:rsidRPr="00F169F6">
        <w:rPr>
          <w:rFonts w:ascii="Times New Roman" w:eastAsia="Times New Roman" w:hAnsi="Times New Roman" w:cs="Times New Roman"/>
          <w:sz w:val="48"/>
          <w:szCs w:val="48"/>
        </w:rPr>
        <w:t xml:space="preserve">FIGURE 18 — </w:t>
      </w:r>
      <w:r w:rsidRPr="00F169F6">
        <w:rPr>
          <w:rFonts w:eastAsia="Times New Roman"/>
        </w:rPr>
        <w:t>mutual_information.png</w:t>
      </w:r>
    </w:p>
    <w:p w14:paraId="32976480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shows</w:t>
      </w:r>
    </w:p>
    <w:p w14:paraId="74F76208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Pairwise MI across features.</w:t>
      </w:r>
    </w:p>
    <w:p w14:paraId="5178BD73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use it scientifically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two features have high MI, they are redundant; permutation importance and SHAP can “split credit” inconsistently across redundant clusters. Therefore, the tool should also compute </w:t>
      </w: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cluster-aware attributions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08B806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PI</m:t>
          </m:r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(C)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j∈</m:t>
              </m:r>
              <m:r>
                <m:rPr>
                  <m:scr m:val="script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j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9889074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m:oMath>
        <m:r>
          <m:rPr>
            <m:scr m:val="script"/>
          </m:rPr>
          <w:rPr>
            <w:rFonts w:ascii="Cambria Math" w:eastAsia="Times New Roman" w:hAnsi="Cambria Math" w:cs="Times New Roman"/>
            <w:kern w:val="0"/>
            <w14:ligatures w14:val="none"/>
          </w:rPr>
          <m:t>C</m:t>
        </m:r>
      </m:oMath>
      <w:r w:rsidRPr="00F169F6">
        <w:rPr>
          <w:rFonts w:ascii="Times New Roman" w:eastAsia="Times New Roman" w:hAnsi="Times New Roman" w:cs="Times New Roman"/>
          <w:kern w:val="0"/>
          <w14:ligatures w14:val="none"/>
        </w:rPr>
        <w:t>is an MI-derived cluster.</w:t>
      </w:r>
    </w:p>
    <w:p w14:paraId="571A768D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This turns “best model selection” into a robust statement about which </w:t>
      </w: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feature </w:t>
      </w:r>
      <w:proofErr w:type="gramStart"/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families</w:t>
      </w:r>
      <w:proofErr w:type="gram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matter, not only individual columns.</w:t>
      </w:r>
    </w:p>
    <w:p w14:paraId="2D42D2D8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pict w14:anchorId="2BD0DF7B">
          <v:rect id="_x0000_i1037" style="width:0;height:1.5pt" o:hralign="center" o:hrstd="t" o:hr="t" fillcolor="#a0a0a0" stroked="f"/>
        </w:pict>
      </w:r>
    </w:p>
    <w:p w14:paraId="779F7737" w14:textId="77777777" w:rsidR="0056101E" w:rsidRPr="00F169F6" w:rsidRDefault="0056101E" w:rsidP="00BD1C8D">
      <w:pPr>
        <w:pStyle w:val="Heading2"/>
        <w:rPr>
          <w:rFonts w:eastAsia="Times New Roman"/>
        </w:rPr>
      </w:pPr>
      <w:r w:rsidRPr="00F169F6">
        <w:rPr>
          <w:rFonts w:eastAsia="Times New Roman"/>
        </w:rPr>
        <w:t xml:space="preserve">FIGURE 19–28 — </w:t>
      </w:r>
      <w:r w:rsidRPr="00F169F6">
        <w:rPr>
          <w:rFonts w:ascii="Courier New" w:eastAsia="Times New Roman" w:hAnsi="Courier New" w:cs="Courier New"/>
          <w:sz w:val="20"/>
          <w:szCs w:val="20"/>
        </w:rPr>
        <w:t>output_dist_*.png</w:t>
      </w:r>
      <w:r w:rsidRPr="00F169F6">
        <w:rPr>
          <w:rFonts w:eastAsia="Times New Roman"/>
        </w:rPr>
        <w:t xml:space="preserve"> (Per-Head Distributions)</w:t>
      </w:r>
    </w:p>
    <w:p w14:paraId="3BAD7583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These show histograms / KDEs (and often Q-Q style shapes) per head.</w:t>
      </w:r>
    </w:p>
    <w:p w14:paraId="0881F83D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head statistics from JSON (absolute dispersion)</w:t>
      </w:r>
    </w:p>
    <w:p w14:paraId="7D1CE0DF" w14:textId="77777777" w:rsidR="0056101E" w:rsidRPr="00F169F6" w:rsidRDefault="0056101E" w:rsidP="00561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POP standard deviation:</w:t>
      </w:r>
    </w:p>
    <w:p w14:paraId="57EBCB5D" w14:textId="77777777" w:rsidR="0056101E" w:rsidRPr="00F169F6" w:rsidRDefault="0056101E" w:rsidP="005610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0.0171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(E3)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0.00642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(E4)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0.00675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(E5)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BE58E79" w14:textId="77777777" w:rsidR="0056101E" w:rsidRPr="00F169F6" w:rsidRDefault="0056101E" w:rsidP="005610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ROI standard deviation:</w:t>
      </w:r>
    </w:p>
    <w:p w14:paraId="009769B7" w14:textId="77777777" w:rsidR="0056101E" w:rsidRPr="00F169F6" w:rsidRDefault="0056101E" w:rsidP="005610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0.0723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(E3)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0.0776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(E4)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0.0800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(E5)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BBF35F8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</w:p>
    <w:p w14:paraId="0186568C" w14:textId="77777777" w:rsidR="0056101E" w:rsidRPr="00F169F6" w:rsidRDefault="0056101E" w:rsidP="00561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POP collapses in E4/E5 relative to E3 (less variability).</w:t>
      </w:r>
    </w:p>
    <w:p w14:paraId="19B2E392" w14:textId="77777777" w:rsidR="0056101E" w:rsidRPr="00F169F6" w:rsidRDefault="0056101E" w:rsidP="0056101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ROI spreads slightly increase with training.</w:t>
      </w:r>
    </w:p>
    <w:p w14:paraId="7ED1200B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A physically meaningful concern: if POP becomes overly concentrated, the model’s risk perception may lose dynamic range (a sign of calibration drift or over-regularization).</w:t>
      </w:r>
    </w:p>
    <w:p w14:paraId="37C740B1" w14:textId="77777777" w:rsidR="0056101E" w:rsidRPr="00F169F6" w:rsidRDefault="0056101E" w:rsidP="00561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71A3E90">
          <v:rect id="_x0000_i1038" style="width:0;height:1.5pt" o:hralign="center" o:hrstd="t" o:hr="t" fillcolor="#a0a0a0" stroked="f"/>
        </w:pict>
      </w:r>
    </w:p>
    <w:p w14:paraId="72099DBD" w14:textId="77777777" w:rsidR="0056101E" w:rsidRPr="00F169F6" w:rsidRDefault="0056101E" w:rsidP="00BD1C8D">
      <w:pPr>
        <w:pStyle w:val="Heading2"/>
        <w:rPr>
          <w:rFonts w:eastAsia="Times New Roman"/>
        </w:rPr>
      </w:pPr>
      <w:r w:rsidRPr="00F169F6">
        <w:rPr>
          <w:rFonts w:eastAsia="Times New Roman"/>
        </w:rPr>
        <w:t>FIGURE 29–31 — Fisher Comparisons (</w:t>
      </w:r>
      <w:proofErr w:type="spellStart"/>
      <w:r w:rsidRPr="00F169F6">
        <w:rPr>
          <w:rFonts w:ascii="Courier New" w:eastAsia="Times New Roman" w:hAnsi="Courier New" w:cs="Courier New"/>
          <w:sz w:val="20"/>
          <w:szCs w:val="20"/>
        </w:rPr>
        <w:t>fisher_comparison</w:t>
      </w:r>
      <w:proofErr w:type="spellEnd"/>
      <w:r w:rsidRPr="00F169F6">
        <w:rPr>
          <w:rFonts w:ascii="Courier New" w:eastAsia="Times New Roman" w:hAnsi="Courier New" w:cs="Courier New"/>
          <w:sz w:val="20"/>
          <w:szCs w:val="20"/>
        </w:rPr>
        <w:t>_*.</w:t>
      </w:r>
      <w:proofErr w:type="spellStart"/>
      <w:r w:rsidRPr="00F169F6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F169F6">
        <w:rPr>
          <w:rFonts w:eastAsia="Times New Roman"/>
        </w:rPr>
        <w:t>)</w:t>
      </w:r>
    </w:p>
    <w:p w14:paraId="75F55AE3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These show </w:t>
      </w:r>
      <w:proofErr w:type="spellStart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>layerwise</w:t>
      </w:r>
      <w:proofErr w:type="spellEnd"/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Fisher ratio (sensitivity shift) between models.</w:t>
      </w:r>
    </w:p>
    <w:p w14:paraId="60ACA0C9" w14:textId="77777777" w:rsidR="0056101E" w:rsidRPr="00F169F6" w:rsidRDefault="0056101E" w:rsidP="005610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Actual Fisher ratios (selected)</w:t>
      </w:r>
    </w:p>
    <w:p w14:paraId="59A135A1" w14:textId="77777777" w:rsidR="0056101E" w:rsidRPr="00F169F6" w:rsidRDefault="0056101E" w:rsidP="00561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Epoch 3 vs 4:</w:t>
      </w:r>
    </w:p>
    <w:p w14:paraId="18934FEF" w14:textId="77777777" w:rsidR="0056101E" w:rsidRPr="00F169F6" w:rsidRDefault="0056101E" w:rsidP="005610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regime_detector</m:t>
          </m:r>
          <w:proofErr w:type="spellEnd"/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≈4.142,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expert_high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≈2.065,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expert_normal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0.206.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66E539F" w14:textId="77777777" w:rsidR="0056101E" w:rsidRPr="00F169F6" w:rsidRDefault="0056101E" w:rsidP="0056101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>Epoch 4 vs 5:</w:t>
      </w:r>
    </w:p>
    <w:p w14:paraId="318AE5C3" w14:textId="77777777" w:rsidR="0056101E" w:rsidRPr="00F169F6" w:rsidRDefault="0056101E" w:rsidP="005610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regime_detector</m:t>
          </m:r>
          <w:proofErr w:type="spellEnd"/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≈1.178,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expert_high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0.996.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89D2C01" w14:textId="77777777" w:rsidR="0056101E" w:rsidRPr="00F169F6" w:rsidRDefault="0056101E" w:rsidP="005610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</w:t>
      </w:r>
    </w:p>
    <w:p w14:paraId="00ADE4C1" w14:textId="77777777" w:rsidR="0056101E" w:rsidRPr="00F169F6" w:rsidRDefault="0056101E" w:rsidP="005610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Most parameter evolution from E3 → E4 happens in </w:t>
      </w: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regime detection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and in the expert routing blocks.</w:t>
      </w:r>
    </w:p>
    <w:p w14:paraId="2A2D710B" w14:textId="77777777" w:rsidR="0056101E" w:rsidRPr="00F169F6" w:rsidRDefault="0056101E" w:rsidP="0056101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E4 → E5 changes are smaller, indicating </w:t>
      </w:r>
      <w:r w:rsidRPr="00F169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convergence</w:t>
      </w:r>
      <w:r w:rsidRPr="00F169F6">
        <w:rPr>
          <w:rFonts w:ascii="Times New Roman" w:eastAsia="Times New Roman" w:hAnsi="Times New Roman" w:cs="Times New Roman"/>
          <w:kern w:val="0"/>
          <w14:ligatures w14:val="none"/>
        </w:rPr>
        <w:t xml:space="preserve"> (or a move into a more rigid local basin).</w:t>
      </w:r>
    </w:p>
    <w:p w14:paraId="03B2C7A9" w14:textId="77777777" w:rsidR="0056101E" w:rsidRDefault="0056101E"/>
    <w:sectPr w:rsidR="00561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EE2"/>
    <w:multiLevelType w:val="multilevel"/>
    <w:tmpl w:val="134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2007A"/>
    <w:multiLevelType w:val="multilevel"/>
    <w:tmpl w:val="CE9C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351CE"/>
    <w:multiLevelType w:val="multilevel"/>
    <w:tmpl w:val="234E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C1423"/>
    <w:multiLevelType w:val="multilevel"/>
    <w:tmpl w:val="5B08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048B8"/>
    <w:multiLevelType w:val="multilevel"/>
    <w:tmpl w:val="205A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B3574"/>
    <w:multiLevelType w:val="multilevel"/>
    <w:tmpl w:val="B26A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2142D"/>
    <w:multiLevelType w:val="multilevel"/>
    <w:tmpl w:val="4E7A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46E63"/>
    <w:multiLevelType w:val="multilevel"/>
    <w:tmpl w:val="3098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00BD1"/>
    <w:multiLevelType w:val="multilevel"/>
    <w:tmpl w:val="EF38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660D2"/>
    <w:multiLevelType w:val="multilevel"/>
    <w:tmpl w:val="552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868DE"/>
    <w:multiLevelType w:val="multilevel"/>
    <w:tmpl w:val="8E829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60733"/>
    <w:multiLevelType w:val="multilevel"/>
    <w:tmpl w:val="E53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358DF"/>
    <w:multiLevelType w:val="multilevel"/>
    <w:tmpl w:val="378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D78FB"/>
    <w:multiLevelType w:val="multilevel"/>
    <w:tmpl w:val="3198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820FA"/>
    <w:multiLevelType w:val="multilevel"/>
    <w:tmpl w:val="99B0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174CF"/>
    <w:multiLevelType w:val="multilevel"/>
    <w:tmpl w:val="15A0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01561"/>
    <w:multiLevelType w:val="multilevel"/>
    <w:tmpl w:val="B7A6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F6536"/>
    <w:multiLevelType w:val="multilevel"/>
    <w:tmpl w:val="2D34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05AFC"/>
    <w:multiLevelType w:val="multilevel"/>
    <w:tmpl w:val="9910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85AE5"/>
    <w:multiLevelType w:val="multilevel"/>
    <w:tmpl w:val="A19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31206"/>
    <w:multiLevelType w:val="multilevel"/>
    <w:tmpl w:val="3632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010D1"/>
    <w:multiLevelType w:val="multilevel"/>
    <w:tmpl w:val="CD4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61B1C"/>
    <w:multiLevelType w:val="multilevel"/>
    <w:tmpl w:val="6DD4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A10CC"/>
    <w:multiLevelType w:val="multilevel"/>
    <w:tmpl w:val="12D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1380B"/>
    <w:multiLevelType w:val="multilevel"/>
    <w:tmpl w:val="9F62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010740"/>
    <w:multiLevelType w:val="multilevel"/>
    <w:tmpl w:val="C7A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0322D"/>
    <w:multiLevelType w:val="multilevel"/>
    <w:tmpl w:val="6FE0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762495">
    <w:abstractNumId w:val="1"/>
  </w:num>
  <w:num w:numId="2" w16cid:durableId="1242524846">
    <w:abstractNumId w:val="0"/>
  </w:num>
  <w:num w:numId="3" w16cid:durableId="1268545378">
    <w:abstractNumId w:val="8"/>
  </w:num>
  <w:num w:numId="4" w16cid:durableId="958730187">
    <w:abstractNumId w:val="23"/>
  </w:num>
  <w:num w:numId="5" w16cid:durableId="796021764">
    <w:abstractNumId w:val="9"/>
  </w:num>
  <w:num w:numId="6" w16cid:durableId="215626271">
    <w:abstractNumId w:val="18"/>
  </w:num>
  <w:num w:numId="7" w16cid:durableId="1639140053">
    <w:abstractNumId w:val="7"/>
  </w:num>
  <w:num w:numId="8" w16cid:durableId="1214973612">
    <w:abstractNumId w:val="2"/>
  </w:num>
  <w:num w:numId="9" w16cid:durableId="522405929">
    <w:abstractNumId w:val="26"/>
  </w:num>
  <w:num w:numId="10" w16cid:durableId="1526871980">
    <w:abstractNumId w:val="5"/>
  </w:num>
  <w:num w:numId="11" w16cid:durableId="875238754">
    <w:abstractNumId w:val="3"/>
  </w:num>
  <w:num w:numId="12" w16cid:durableId="1000229281">
    <w:abstractNumId w:val="25"/>
  </w:num>
  <w:num w:numId="13" w16cid:durableId="1252665412">
    <w:abstractNumId w:val="24"/>
  </w:num>
  <w:num w:numId="14" w16cid:durableId="1831286111">
    <w:abstractNumId w:val="14"/>
  </w:num>
  <w:num w:numId="15" w16cid:durableId="979573339">
    <w:abstractNumId w:val="4"/>
  </w:num>
  <w:num w:numId="16" w16cid:durableId="810027412">
    <w:abstractNumId w:val="19"/>
  </w:num>
  <w:num w:numId="17" w16cid:durableId="1511993218">
    <w:abstractNumId w:val="10"/>
  </w:num>
  <w:num w:numId="18" w16cid:durableId="1830749796">
    <w:abstractNumId w:val="20"/>
  </w:num>
  <w:num w:numId="19" w16cid:durableId="726879119">
    <w:abstractNumId w:val="16"/>
  </w:num>
  <w:num w:numId="20" w16cid:durableId="1294481412">
    <w:abstractNumId w:val="6"/>
  </w:num>
  <w:num w:numId="21" w16cid:durableId="1176920566">
    <w:abstractNumId w:val="12"/>
  </w:num>
  <w:num w:numId="22" w16cid:durableId="257565321">
    <w:abstractNumId w:val="17"/>
  </w:num>
  <w:num w:numId="23" w16cid:durableId="1911845507">
    <w:abstractNumId w:val="15"/>
  </w:num>
  <w:num w:numId="24" w16cid:durableId="770393021">
    <w:abstractNumId w:val="11"/>
  </w:num>
  <w:num w:numId="25" w16cid:durableId="1910075055">
    <w:abstractNumId w:val="22"/>
  </w:num>
  <w:num w:numId="26" w16cid:durableId="1069382337">
    <w:abstractNumId w:val="21"/>
  </w:num>
  <w:num w:numId="27" w16cid:durableId="20225880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1E"/>
    <w:rsid w:val="0056101E"/>
    <w:rsid w:val="00AA3A86"/>
    <w:rsid w:val="00BD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403D9"/>
  <w15:chartTrackingRefBased/>
  <w15:docId w15:val="{7D77CE02-7298-4CBD-A1C7-F28935B7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01E"/>
  </w:style>
  <w:style w:type="paragraph" w:styleId="Heading1">
    <w:name w:val="heading 1"/>
    <w:basedOn w:val="Normal"/>
    <w:next w:val="Normal"/>
    <w:link w:val="Heading1Char"/>
    <w:uiPriority w:val="9"/>
    <w:qFormat/>
    <w:rsid w:val="00561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1329</Words>
  <Characters>9068</Characters>
  <Application>Microsoft Office Word</Application>
  <DocSecurity>0</DocSecurity>
  <Lines>292</Lines>
  <Paragraphs>221</Paragraphs>
  <ScaleCrop>false</ScaleCrop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FIGHT THE DEMONS</dc:creator>
  <cp:keywords/>
  <dc:description/>
  <cp:lastModifiedBy>FIGHT THE DEMONS</cp:lastModifiedBy>
  <cp:revision>2</cp:revision>
  <cp:lastPrinted>2026-02-01T01:15:00Z</cp:lastPrinted>
  <dcterms:created xsi:type="dcterms:W3CDTF">2026-02-01T01:10:00Z</dcterms:created>
  <dcterms:modified xsi:type="dcterms:W3CDTF">2026-02-01T01:17:00Z</dcterms:modified>
</cp:coreProperties>
</file>