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64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4B0ECB">
        <w:rPr>
          <w:b/>
          <w:sz w:val="36"/>
          <w:szCs w:val="36"/>
        </w:rPr>
        <w:tab/>
      </w:r>
      <w:r w:rsidR="004B0ECB">
        <w:rPr>
          <w:b/>
          <w:sz w:val="36"/>
          <w:szCs w:val="36"/>
        </w:rPr>
        <w:tab/>
      </w:r>
      <w:r w:rsidR="005E2AC9">
        <w:rPr>
          <w:b/>
          <w:sz w:val="36"/>
          <w:szCs w:val="36"/>
        </w:rPr>
        <w:t>Fall 2016</w:t>
      </w:r>
    </w:p>
    <w:p w:rsidR="002E7046" w:rsidRDefault="00D8457D" w:rsidP="002E7046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F64A99">
        <w:rPr>
          <w:b/>
          <w:sz w:val="36"/>
          <w:szCs w:val="36"/>
        </w:rPr>
        <w:t>Table Expressions</w:t>
      </w:r>
      <w:r>
        <w:rPr>
          <w:b/>
          <w:sz w:val="36"/>
          <w:szCs w:val="36"/>
        </w:rPr>
        <w:t xml:space="preserve"> </w:t>
      </w:r>
      <w:r w:rsidR="002E7046">
        <w:rPr>
          <w:b/>
          <w:sz w:val="36"/>
          <w:szCs w:val="36"/>
        </w:rPr>
        <w:t>Exercise</w:t>
      </w:r>
    </w:p>
    <w:p w:rsidR="00B968FC" w:rsidRDefault="00B968FC" w:rsidP="002E7046">
      <w:pPr>
        <w:ind w:left="2160" w:firstLine="720"/>
        <w:rPr>
          <w:b/>
          <w:sz w:val="36"/>
          <w:szCs w:val="36"/>
        </w:rPr>
      </w:pPr>
    </w:p>
    <w:p w:rsidR="002E7046" w:rsidRPr="002E7046" w:rsidRDefault="002E7046" w:rsidP="002E7046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 w:rsidRPr="00F80F92">
        <w:rPr>
          <w:rFonts w:asciiTheme="minorHAnsi" w:hAnsiTheme="minorHAnsi"/>
          <w:bCs/>
          <w:sz w:val="28"/>
          <w:szCs w:val="24"/>
        </w:rPr>
        <w:t>Use TSQL2012.</w:t>
      </w:r>
    </w:p>
    <w:p w:rsidR="00F80F92" w:rsidRDefault="00F80F92" w:rsidP="002E7046">
      <w:pPr>
        <w:jc w:val="both"/>
        <w:rPr>
          <w:rFonts w:ascii="Times New Roman" w:hAnsi="Times New Roman"/>
          <w:b/>
          <w:bCs/>
          <w:szCs w:val="24"/>
        </w:rPr>
      </w:pPr>
    </w:p>
    <w:p w:rsidR="00B968FC" w:rsidRDefault="00B968FC" w:rsidP="00B968FC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(a) Create a view called Sales.TotalOrderValue containing, for each order t</w:t>
      </w:r>
      <w:r w:rsidRPr="00B968FC">
        <w:rPr>
          <w:rFonts w:ascii="Times New Roman" w:hAnsi="Times New Roman"/>
          <w:bCs/>
          <w:szCs w:val="24"/>
        </w:rPr>
        <w:t>he orde</w:t>
      </w:r>
      <w:r>
        <w:rPr>
          <w:rFonts w:ascii="Times New Roman" w:hAnsi="Times New Roman"/>
          <w:bCs/>
          <w:szCs w:val="24"/>
        </w:rPr>
        <w:t xml:space="preserve">rid, </w:t>
      </w:r>
      <w:r w:rsidR="008435B3">
        <w:rPr>
          <w:rFonts w:ascii="Times New Roman" w:hAnsi="Times New Roman"/>
          <w:bCs/>
          <w:szCs w:val="24"/>
        </w:rPr>
        <w:t xml:space="preserve">orderdate, </w:t>
      </w:r>
      <w:r>
        <w:rPr>
          <w:rFonts w:ascii="Times New Roman" w:hAnsi="Times New Roman"/>
          <w:bCs/>
          <w:szCs w:val="24"/>
        </w:rPr>
        <w:t>custid</w:t>
      </w:r>
      <w:r w:rsidRPr="00B968FC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 xml:space="preserve">and </w:t>
      </w:r>
      <w:r w:rsidRPr="00B968FC">
        <w:rPr>
          <w:rFonts w:ascii="Times New Roman" w:hAnsi="Times New Roman"/>
          <w:bCs/>
          <w:szCs w:val="24"/>
        </w:rPr>
        <w:t>total</w:t>
      </w:r>
      <w:r>
        <w:rPr>
          <w:rFonts w:ascii="Times New Roman" w:hAnsi="Times New Roman"/>
          <w:bCs/>
          <w:szCs w:val="24"/>
        </w:rPr>
        <w:t xml:space="preserve"> value of the order.</w:t>
      </w:r>
    </w:p>
    <w:p w:rsidR="0033514F" w:rsidRDefault="0033514F" w:rsidP="0033514F">
      <w:pPr>
        <w:rPr>
          <w:rFonts w:ascii="Times New Roman" w:hAnsi="Times New Roman"/>
          <w:bCs/>
          <w:szCs w:val="24"/>
        </w:rPr>
      </w:pP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'Sales.TotalOrderValue'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TotalOrderValue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TotalOrderValue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qty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unitprice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TotalValue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F0126E" w:rsidRDefault="00F0126E" w:rsidP="00F0126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B968FC" w:rsidRDefault="00B968FC" w:rsidP="00B968FC">
      <w:pPr>
        <w:pStyle w:val="ListParagraph"/>
        <w:rPr>
          <w:rFonts w:ascii="Times New Roman" w:hAnsi="Times New Roman"/>
          <w:bCs/>
          <w:szCs w:val="24"/>
        </w:rPr>
      </w:pPr>
    </w:p>
    <w:p w:rsidR="00B968FC" w:rsidRDefault="00B968FC" w:rsidP="00B968FC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(b) Use the view in (a) to show, for each order, what percentage the order’s </w:t>
      </w:r>
      <w:r w:rsidR="00466713">
        <w:rPr>
          <w:rFonts w:ascii="Times New Roman" w:hAnsi="Times New Roman"/>
          <w:bCs/>
          <w:szCs w:val="24"/>
        </w:rPr>
        <w:t xml:space="preserve">total </w:t>
      </w:r>
      <w:r>
        <w:rPr>
          <w:rFonts w:ascii="Times New Roman" w:hAnsi="Times New Roman"/>
          <w:bCs/>
          <w:szCs w:val="24"/>
        </w:rPr>
        <w:t>value is of the total value of all orders by that customer.</w:t>
      </w:r>
    </w:p>
    <w:p w:rsidR="00311AC7" w:rsidRDefault="00311AC7" w:rsidP="00B968FC">
      <w:pPr>
        <w:pStyle w:val="ListParagraph"/>
        <w:rPr>
          <w:rFonts w:ascii="Times New Roman" w:hAnsi="Times New Roman"/>
          <w:bCs/>
          <w:szCs w:val="24"/>
        </w:rPr>
      </w:pPr>
    </w:p>
    <w:p w:rsidR="00311AC7" w:rsidRDefault="00311AC7" w:rsidP="00311A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TV1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TV1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TV1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TotalValue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TV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TotalValue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311AC7" w:rsidRDefault="00311AC7" w:rsidP="00311A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TotalOrderValue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TV</w:t>
      </w:r>
    </w:p>
    <w:p w:rsidR="00311AC7" w:rsidRDefault="00311AC7" w:rsidP="00311A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TV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TV1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</w:p>
    <w:p w:rsidR="00311AC7" w:rsidRDefault="00311AC7" w:rsidP="00311AC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TV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Percentage</w:t>
      </w:r>
    </w:p>
    <w:p w:rsidR="00311AC7" w:rsidRDefault="00311AC7" w:rsidP="00311AC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TotalOrderValue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TV1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B968FC" w:rsidRDefault="00B968FC" w:rsidP="00B968FC">
      <w:pPr>
        <w:pStyle w:val="ListParagraph"/>
        <w:rPr>
          <w:rFonts w:ascii="Times New Roman" w:hAnsi="Times New Roman"/>
          <w:bCs/>
          <w:szCs w:val="24"/>
        </w:rPr>
      </w:pPr>
    </w:p>
    <w:p w:rsidR="008435B3" w:rsidRPr="008435B3" w:rsidRDefault="008435B3" w:rsidP="00D965AE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Show, for each customer, the change in how much they spent from each year to the next.</w:t>
      </w:r>
    </w:p>
    <w:p w:rsidR="008435B3" w:rsidRDefault="008435B3" w:rsidP="008435B3">
      <w:pPr>
        <w:pStyle w:val="ListParagraph"/>
        <w:rPr>
          <w:rFonts w:ascii="Times New Roman" w:hAnsi="Times New Roman"/>
          <w:bCs/>
          <w:szCs w:val="24"/>
        </w:rPr>
      </w:pP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sz w:val="19"/>
          <w:szCs w:val="19"/>
        </w:rPr>
        <w:t xml:space="preserve"> YearlyTotalSpent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TotalValue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TotalSpent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TotalOrderValue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T1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TotalOrderValue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Cur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Cur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YearlyTotalSpent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Cur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YearlyTotalSpent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Prev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Cur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Prev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CUR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custid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Prev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CUR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Cur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50CD8" w:rsidRDefault="00850CD8" w:rsidP="008435B3">
      <w:pPr>
        <w:pStyle w:val="ListParagraph"/>
        <w:rPr>
          <w:rFonts w:ascii="Times New Roman" w:hAnsi="Times New Roman"/>
          <w:bCs/>
          <w:szCs w:val="24"/>
        </w:rPr>
      </w:pPr>
    </w:p>
    <w:p w:rsidR="00850CD8" w:rsidRPr="008435B3" w:rsidRDefault="00850CD8" w:rsidP="008435B3">
      <w:pPr>
        <w:pStyle w:val="ListParagraph"/>
        <w:rPr>
          <w:rFonts w:ascii="Times New Roman" w:hAnsi="Times New Roman"/>
          <w:bCs/>
          <w:szCs w:val="24"/>
        </w:rPr>
      </w:pPr>
    </w:p>
    <w:p w:rsidR="00D965AE" w:rsidRPr="00850CD8" w:rsidRDefault="00C02657" w:rsidP="00D965AE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Cs w:val="24"/>
        </w:rPr>
      </w:pPr>
      <w:r w:rsidRPr="002E4CE3">
        <w:lastRenderedPageBreak/>
        <w:t xml:space="preserve">Create an inline TVF called </w:t>
      </w:r>
      <w:r w:rsidR="000D20B4">
        <w:t xml:space="preserve">Sales.GetLargeOrders </w:t>
      </w:r>
      <w:r>
        <w:t xml:space="preserve">which </w:t>
      </w:r>
      <w:r w:rsidRPr="002E4CE3">
        <w:t xml:space="preserve">accepts as inputs a </w:t>
      </w:r>
      <w:r>
        <w:t>product</w:t>
      </w:r>
      <w:r w:rsidRPr="002E4CE3">
        <w:t xml:space="preserve"> id and</w:t>
      </w:r>
      <w:r>
        <w:t xml:space="preserve"> quantity amount. The </w:t>
      </w:r>
      <w:r w:rsidR="00A65F26">
        <w:t xml:space="preserve">function should return the orderid </w:t>
      </w:r>
      <w:r>
        <w:t xml:space="preserve">and quantity ordered </w:t>
      </w:r>
      <w:r w:rsidR="00A65F26">
        <w:t xml:space="preserve">for every order </w:t>
      </w:r>
      <w:r>
        <w:t>where the given product id was ordered in an amount larger than the given quantity.</w:t>
      </w:r>
      <w:r w:rsidR="000D20B4">
        <w:t xml:space="preserve"> </w:t>
      </w:r>
    </w:p>
    <w:p w:rsidR="00850CD8" w:rsidRDefault="00850CD8" w:rsidP="00850CD8">
      <w:pPr>
        <w:rPr>
          <w:rFonts w:ascii="Times New Roman" w:hAnsi="Times New Roman"/>
          <w:bCs/>
          <w:szCs w:val="24"/>
        </w:rPr>
      </w:pP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'Sales.GetLargeOrders'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GetLargeOrders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GetLargeOrders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 xml:space="preserve">@productid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@qty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qty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@productid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qty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@qty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50CD8" w:rsidRDefault="00850CD8" w:rsidP="00850CD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850CD8" w:rsidRPr="00850CD8" w:rsidRDefault="00850CD8" w:rsidP="00850CD8">
      <w:pPr>
        <w:rPr>
          <w:rFonts w:ascii="Times New Roman" w:hAnsi="Times New Roman"/>
          <w:bCs/>
          <w:szCs w:val="24"/>
        </w:rPr>
      </w:pPr>
      <w:bookmarkStart w:id="0" w:name="_GoBack"/>
      <w:bookmarkEnd w:id="0"/>
    </w:p>
    <w:p w:rsidR="00A65F26" w:rsidRPr="00A65F26" w:rsidRDefault="00A65F26" w:rsidP="00A65F26">
      <w:pPr>
        <w:pStyle w:val="ListParagraph"/>
        <w:rPr>
          <w:rFonts w:ascii="Times New Roman" w:hAnsi="Times New Roman"/>
          <w:bCs/>
          <w:szCs w:val="24"/>
        </w:rPr>
      </w:pPr>
    </w:p>
    <w:p w:rsidR="00D965AE" w:rsidRDefault="00D965AE" w:rsidP="00D965A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808080"/>
          <w:sz w:val="19"/>
          <w:szCs w:val="19"/>
        </w:rPr>
      </w:pPr>
      <w:r w:rsidRPr="00D965AE">
        <w:rPr>
          <w:rFonts w:ascii="Consolas" w:eastAsiaTheme="minorHAnsi" w:hAnsi="Consolas" w:cs="Consolas"/>
          <w:szCs w:val="19"/>
        </w:rPr>
        <w:t xml:space="preserve">E.g.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GetLargeOrders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D965AE" w:rsidRDefault="00D965AE" w:rsidP="00D965AE">
      <w:pPr>
        <w:autoSpaceDE w:val="0"/>
        <w:autoSpaceDN w:val="0"/>
        <w:adjustRightInd w:val="0"/>
        <w:ind w:left="720"/>
        <w:rPr>
          <w:rFonts w:ascii="Times New Roman" w:eastAsiaTheme="minorHAnsi" w:hAnsi="Times New Roman"/>
          <w:szCs w:val="19"/>
        </w:rPr>
      </w:pPr>
      <w:r>
        <w:rPr>
          <w:rFonts w:ascii="Times New Roman" w:eastAsiaTheme="minorHAnsi" w:hAnsi="Times New Roman"/>
          <w:szCs w:val="19"/>
        </w:rPr>
        <w:t>s</w:t>
      </w:r>
      <w:r w:rsidRPr="00D965AE">
        <w:rPr>
          <w:rFonts w:ascii="Times New Roman" w:eastAsiaTheme="minorHAnsi" w:hAnsi="Times New Roman"/>
          <w:szCs w:val="19"/>
        </w:rPr>
        <w:t>hould return all orderid’s and quantities where productid 11 was ordered more than 20 times. The result should be:</w:t>
      </w:r>
    </w:p>
    <w:p w:rsidR="00D965AE" w:rsidRPr="00D965AE" w:rsidRDefault="00D965AE" w:rsidP="00D965AE">
      <w:pPr>
        <w:autoSpaceDE w:val="0"/>
        <w:autoSpaceDN w:val="0"/>
        <w:adjustRightInd w:val="0"/>
        <w:ind w:left="720"/>
        <w:rPr>
          <w:rFonts w:ascii="Times New Roman" w:eastAsiaTheme="minorHAnsi" w:hAnsi="Times New Roman"/>
          <w:szCs w:val="19"/>
        </w:rPr>
      </w:pPr>
    </w:p>
    <w:p w:rsidR="00D965AE" w:rsidRDefault="00D965AE" w:rsidP="00D965A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402136F" wp14:editId="25FA8D65">
            <wp:extent cx="11239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AE" w:rsidRPr="00D965AE" w:rsidRDefault="00D965AE" w:rsidP="00D965AE">
      <w:pPr>
        <w:ind w:left="720"/>
        <w:rPr>
          <w:rFonts w:ascii="Times New Roman" w:hAnsi="Times New Roman"/>
          <w:bCs/>
          <w:szCs w:val="24"/>
        </w:rPr>
      </w:pPr>
    </w:p>
    <w:p w:rsidR="00B968FC" w:rsidRPr="00B968FC" w:rsidRDefault="00C02657" w:rsidP="00C02657">
      <w:pPr>
        <w:pStyle w:val="ListParagraph"/>
        <w:rPr>
          <w:rFonts w:ascii="Times New Roman" w:hAnsi="Times New Roman"/>
          <w:bCs/>
          <w:szCs w:val="24"/>
        </w:rPr>
      </w:pPr>
      <w:r>
        <w:tab/>
      </w:r>
    </w:p>
    <w:sectPr w:rsidR="00B968FC" w:rsidRPr="00B968FC" w:rsidSect="00A14967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207"/>
    <w:multiLevelType w:val="hybridMultilevel"/>
    <w:tmpl w:val="E4C272BE"/>
    <w:lvl w:ilvl="0" w:tplc="5EE84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030A"/>
    <w:multiLevelType w:val="hybridMultilevel"/>
    <w:tmpl w:val="3DEA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A2441"/>
    <w:multiLevelType w:val="hybridMultilevel"/>
    <w:tmpl w:val="1A38155C"/>
    <w:lvl w:ilvl="0" w:tplc="D3EE0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6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901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22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2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8B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07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AD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4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4E66A2"/>
    <w:multiLevelType w:val="hybridMultilevel"/>
    <w:tmpl w:val="B5A066FC"/>
    <w:lvl w:ilvl="0" w:tplc="4FB2F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231A2346">
      <w:start w:val="2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A3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01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C6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E9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C0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27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B35439"/>
    <w:multiLevelType w:val="hybridMultilevel"/>
    <w:tmpl w:val="AFA49D38"/>
    <w:lvl w:ilvl="0" w:tplc="0AF4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2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65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0C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E0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8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AA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E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07F8B"/>
    <w:rsid w:val="00055564"/>
    <w:rsid w:val="000637A2"/>
    <w:rsid w:val="000D20B4"/>
    <w:rsid w:val="0011376B"/>
    <w:rsid w:val="001563B4"/>
    <w:rsid w:val="00182412"/>
    <w:rsid w:val="001951AF"/>
    <w:rsid w:val="001A7B69"/>
    <w:rsid w:val="001D5949"/>
    <w:rsid w:val="001F2FC2"/>
    <w:rsid w:val="002913FA"/>
    <w:rsid w:val="002B6C57"/>
    <w:rsid w:val="002C37D0"/>
    <w:rsid w:val="002C4216"/>
    <w:rsid w:val="002D07E2"/>
    <w:rsid w:val="002E7046"/>
    <w:rsid w:val="00311AC7"/>
    <w:rsid w:val="0033514F"/>
    <w:rsid w:val="003418FA"/>
    <w:rsid w:val="003474A3"/>
    <w:rsid w:val="00364F28"/>
    <w:rsid w:val="003B46D5"/>
    <w:rsid w:val="00466713"/>
    <w:rsid w:val="004940BE"/>
    <w:rsid w:val="004B0ECB"/>
    <w:rsid w:val="004C5828"/>
    <w:rsid w:val="004C7190"/>
    <w:rsid w:val="004F1EED"/>
    <w:rsid w:val="0055165A"/>
    <w:rsid w:val="005A11A3"/>
    <w:rsid w:val="005D739F"/>
    <w:rsid w:val="005E2AC9"/>
    <w:rsid w:val="006371E3"/>
    <w:rsid w:val="00654848"/>
    <w:rsid w:val="006834F3"/>
    <w:rsid w:val="006C0653"/>
    <w:rsid w:val="006C5803"/>
    <w:rsid w:val="006E5C59"/>
    <w:rsid w:val="00717A16"/>
    <w:rsid w:val="00795797"/>
    <w:rsid w:val="008435B3"/>
    <w:rsid w:val="00850CD8"/>
    <w:rsid w:val="00857D93"/>
    <w:rsid w:val="00867DAE"/>
    <w:rsid w:val="008C3166"/>
    <w:rsid w:val="00901262"/>
    <w:rsid w:val="0090196B"/>
    <w:rsid w:val="0090507F"/>
    <w:rsid w:val="00966B89"/>
    <w:rsid w:val="009C7C42"/>
    <w:rsid w:val="009F5063"/>
    <w:rsid w:val="009F6443"/>
    <w:rsid w:val="00A14967"/>
    <w:rsid w:val="00A16E11"/>
    <w:rsid w:val="00A33212"/>
    <w:rsid w:val="00A65F26"/>
    <w:rsid w:val="00A928C2"/>
    <w:rsid w:val="00AA5912"/>
    <w:rsid w:val="00B070CA"/>
    <w:rsid w:val="00B166B3"/>
    <w:rsid w:val="00B24B0B"/>
    <w:rsid w:val="00B474C4"/>
    <w:rsid w:val="00B47827"/>
    <w:rsid w:val="00B5425F"/>
    <w:rsid w:val="00B5674D"/>
    <w:rsid w:val="00B62350"/>
    <w:rsid w:val="00B968FC"/>
    <w:rsid w:val="00BD5CEB"/>
    <w:rsid w:val="00BE07C9"/>
    <w:rsid w:val="00BE2410"/>
    <w:rsid w:val="00C02657"/>
    <w:rsid w:val="00C12AA2"/>
    <w:rsid w:val="00C9043C"/>
    <w:rsid w:val="00CC60C0"/>
    <w:rsid w:val="00CE4E7D"/>
    <w:rsid w:val="00D307A4"/>
    <w:rsid w:val="00D8457D"/>
    <w:rsid w:val="00D965AE"/>
    <w:rsid w:val="00DB6441"/>
    <w:rsid w:val="00DC6C9D"/>
    <w:rsid w:val="00DD4270"/>
    <w:rsid w:val="00DF675E"/>
    <w:rsid w:val="00E16D0E"/>
    <w:rsid w:val="00E27A8F"/>
    <w:rsid w:val="00E32522"/>
    <w:rsid w:val="00E56F1C"/>
    <w:rsid w:val="00E87940"/>
    <w:rsid w:val="00EA08E1"/>
    <w:rsid w:val="00EC3BF3"/>
    <w:rsid w:val="00ED129D"/>
    <w:rsid w:val="00F0126E"/>
    <w:rsid w:val="00F45741"/>
    <w:rsid w:val="00F5319F"/>
    <w:rsid w:val="00F64A99"/>
    <w:rsid w:val="00F70C15"/>
    <w:rsid w:val="00F80F92"/>
    <w:rsid w:val="00F97346"/>
    <w:rsid w:val="00F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358B"/>
  <w15:docId w15:val="{C4F38E93-4E2C-4FC7-BE9F-C147E15D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81</cp:revision>
  <dcterms:created xsi:type="dcterms:W3CDTF">2012-10-01T01:17:00Z</dcterms:created>
  <dcterms:modified xsi:type="dcterms:W3CDTF">2016-11-04T19:01:00Z</dcterms:modified>
</cp:coreProperties>
</file>