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Audit Scope and Goals:</w:t>
      </w:r>
    </w:p>
    <w:p w:rsidR="00000000" w:rsidDel="00000000" w:rsidP="00000000" w:rsidRDefault="00000000" w:rsidRPr="00000000" w14:paraId="00000002">
      <w:pPr>
        <w:rPr/>
      </w:pPr>
      <w:r w:rsidDel="00000000" w:rsidR="00000000" w:rsidRPr="00000000">
        <w:rPr>
          <w:rtl w:val="0"/>
        </w:rPr>
        <w:t xml:space="preserve">The audit scope was to improve Botium Toys' security posture by aligning with industry best practices (such as the NIST CSF) and addressing current risks. The main goals were to enhance security, provide mitigation recommendations, and identify compliance regulations applicable to their business.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Critical Findings of the Audit</w:t>
      </w:r>
      <w:r w:rsidDel="00000000" w:rsidR="00000000" w:rsidRPr="00000000">
        <w:rPr>
          <w:rtl w:val="0"/>
        </w:rPr>
        <w:t xml:space="preserve"> - Immediate Implementation:</w:t>
      </w:r>
    </w:p>
    <w:p w:rsidR="00000000" w:rsidDel="00000000" w:rsidP="00000000" w:rsidRDefault="00000000" w:rsidRPr="00000000" w14:paraId="00000005">
      <w:pPr>
        <w:rPr/>
      </w:pPr>
      <w:r w:rsidDel="00000000" w:rsidR="00000000" w:rsidRPr="00000000">
        <w:rPr>
          <w:rtl w:val="0"/>
        </w:rPr>
        <w:t xml:space="preserve">From the controls assessment, the critical findings that need to be addressed immediately are: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Least Privilege</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Disaster recovery plans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Password policies</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Access control policies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Account management policies</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Password management system</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Antivirus (AV) software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Manual monitoring, maintenance, and intervention</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Time-controlled safe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Adequate lighting</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Closed-circuit television (CCTV) surveillance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Locking cabinets (for network gear)</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Signage indicating alarm service provider</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Locks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Fire detection and prevention (fire alarm, sprinkler system, etc.)</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Findings for the Future:</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Controls and policies that need to be addressed in the future include: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Separation of duties</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Encryption</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Firewall</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Intrusion Detection System (IDS)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System and Organizations Controls (SOC type 1, SOC type 2)</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Recommendations Summary to Stakeholders:</w:t>
      </w:r>
    </w:p>
    <w:p w:rsidR="00000000" w:rsidDel="00000000" w:rsidP="00000000" w:rsidRDefault="00000000" w:rsidRPr="00000000" w14:paraId="00000021">
      <w:pPr>
        <w:rPr/>
      </w:pPr>
      <w:r w:rsidDel="00000000" w:rsidR="00000000" w:rsidRPr="00000000">
        <w:rPr>
          <w:rtl w:val="0"/>
        </w:rPr>
        <w:t xml:space="preserve">In order to enhance Botium Toys' security posture and compliance, it's imperative to immediately implement the identified controls and policies. These include measures to enforce least privilege access, establish robust disaster recovery plans, implement strong password policies, manage access controls effectively, and ensure proper account management. Additionally, implementing antivirus software, manual monitoring, and physical security measures such as time-controlled safes, CCTV surveillance, and locking cabinets are crucial to mitigate immediate risks.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For the future, considerations should be given to implementing controls like separation of duties, encryption for data security, and technical measures like firewalls and intrusion detection systems. Moreover, the adoption of System and Organizations Controls (SOC type 1, SOC type 2) reports would help in maintaining financial compliance and data safety.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Clear and concise communication with stakeholders involves emphasizing the urgency of addressing immediate risks while outlining a roadmap for future improvements, ensuring that Botium Toys is both secure and compliant, thus safeguarding the company's reputation and customer trust.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