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1f1f1f"/>
          <w:sz w:val="24"/>
          <w:szCs w:val="24"/>
        </w:rPr>
      </w:pPr>
      <w:r w:rsidDel="00000000" w:rsidR="00000000" w:rsidRPr="00000000">
        <w:rPr>
          <w:color w:val="1f1f1f"/>
          <w:sz w:val="24"/>
          <w:szCs w:val="24"/>
          <w:rtl w:val="0"/>
        </w:rPr>
        <w:t xml:space="preserve">You receive the following email from your IT manager:</w:t>
      </w:r>
    </w:p>
    <w:p w:rsidR="00000000" w:rsidDel="00000000" w:rsidP="00000000" w:rsidRDefault="00000000" w:rsidRPr="00000000" w14:paraId="00000002">
      <w:pPr>
        <w:shd w:fill="ffffff" w:val="clear"/>
        <w:rPr>
          <w:color w:val="1f1f1f"/>
          <w:sz w:val="24"/>
          <w:szCs w:val="24"/>
        </w:rPr>
      </w:pPr>
      <w:r w:rsidDel="00000000" w:rsidR="00000000" w:rsidRPr="00000000">
        <w:rPr>
          <w:color w:val="1f1f1f"/>
          <w:sz w:val="24"/>
          <w:szCs w:val="24"/>
          <w:rtl w:val="0"/>
        </w:rPr>
        <w:t xml:space="preserve">Hello!</w:t>
      </w:r>
    </w:p>
    <w:p w:rsidR="00000000" w:rsidDel="00000000" w:rsidP="00000000" w:rsidRDefault="00000000" w:rsidRPr="00000000" w14:paraId="00000003">
      <w:pPr>
        <w:shd w:fill="ffffff" w:val="clear"/>
        <w:rPr>
          <w:color w:val="1f1f1f"/>
          <w:sz w:val="24"/>
          <w:szCs w:val="24"/>
        </w:rPr>
      </w:pPr>
      <w:r w:rsidDel="00000000" w:rsidR="00000000" w:rsidRPr="00000000">
        <w:rPr>
          <w:color w:val="1f1f1f"/>
          <w:sz w:val="24"/>
          <w:szCs w:val="24"/>
          <w:rtl w:val="0"/>
        </w:rPr>
        <w:t xml:space="preserve">I have completed the audit scope and goals, as well as a risk assessment. At a high level, the main goals and risks are as follows:</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Goals: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Improve Botium Toys’ current security posture by aligning to industry best practices (e.g., adhere to the NIST CSF, implement concept of least permissions)</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Provide mitigation recommendations (i.e., controls, policies, documentation), based on current risks</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Identify compliance regulations Botium Toys must adhere to, primarily based on </w:t>
      </w:r>
      <w:r w:rsidDel="00000000" w:rsidR="00000000" w:rsidRPr="00000000">
        <w:rPr>
          <w:i w:val="1"/>
          <w:color w:val="1f1f1f"/>
          <w:sz w:val="24"/>
          <w:szCs w:val="24"/>
          <w:rtl w:val="0"/>
        </w:rPr>
        <w:t xml:space="preserve">where</w:t>
      </w:r>
      <w:r w:rsidDel="00000000" w:rsidR="00000000" w:rsidRPr="00000000">
        <w:rPr>
          <w:color w:val="1f1f1f"/>
          <w:sz w:val="24"/>
          <w:szCs w:val="24"/>
          <w:rtl w:val="0"/>
        </w:rPr>
        <w:t xml:space="preserve"> we conduct business and </w:t>
      </w:r>
      <w:r w:rsidDel="00000000" w:rsidR="00000000" w:rsidRPr="00000000">
        <w:rPr>
          <w:i w:val="1"/>
          <w:color w:val="1f1f1f"/>
          <w:sz w:val="24"/>
          <w:szCs w:val="24"/>
          <w:rtl w:val="0"/>
        </w:rPr>
        <w:t xml:space="preserve">how</w:t>
      </w:r>
      <w:r w:rsidDel="00000000" w:rsidR="00000000" w:rsidRPr="00000000">
        <w:rPr>
          <w:color w:val="1f1f1f"/>
          <w:sz w:val="24"/>
          <w:szCs w:val="24"/>
          <w:rtl w:val="0"/>
        </w:rPr>
        <w:t xml:space="preserve"> we accept payments</w:t>
      </w:r>
    </w:p>
    <w:p w:rsidR="00000000" w:rsidDel="00000000" w:rsidP="00000000" w:rsidRDefault="00000000" w:rsidRPr="00000000" w14:paraId="00000008">
      <w:pPr>
        <w:numPr>
          <w:ilvl w:val="0"/>
          <w:numId w:val="1"/>
        </w:numPr>
        <w:shd w:fill="ffffff" w:val="clear"/>
        <w:spacing w:after="160" w:lineRule="auto"/>
        <w:ind w:left="720" w:hanging="360"/>
      </w:pPr>
      <w:r w:rsidDel="00000000" w:rsidR="00000000" w:rsidRPr="00000000">
        <w:rPr>
          <w:color w:val="1f1f1f"/>
          <w:sz w:val="24"/>
          <w:szCs w:val="24"/>
          <w:rtl w:val="0"/>
        </w:rPr>
        <w:t xml:space="preserve">To review the full report, read the Botium Toys: Audit scope and goals document</w:t>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tl w:val="0"/>
        </w:rPr>
        <w:t xml:space="preserve">Risks:</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Inadequate management of assets</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Proper controls are not in place</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May not be compliant with U.S. and international regulations and guidelines</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Current risk score is 8/10 (high), due to a lack of controls and adherence to compliance regulations and standards</w:t>
      </w:r>
    </w:p>
    <w:p w:rsidR="00000000" w:rsidDel="00000000" w:rsidP="00000000" w:rsidRDefault="00000000" w:rsidRPr="00000000" w14:paraId="0000000E">
      <w:pPr>
        <w:numPr>
          <w:ilvl w:val="0"/>
          <w:numId w:val="2"/>
        </w:numPr>
        <w:shd w:fill="ffffff" w:val="clear"/>
        <w:spacing w:after="160" w:lineRule="auto"/>
        <w:ind w:left="720" w:hanging="360"/>
      </w:pPr>
      <w:r w:rsidDel="00000000" w:rsidR="00000000" w:rsidRPr="00000000">
        <w:rPr>
          <w:color w:val="1f1f1f"/>
          <w:sz w:val="24"/>
          <w:szCs w:val="24"/>
          <w:rtl w:val="0"/>
        </w:rPr>
        <w:t xml:space="preserve">To review the complete list of assets and risks, read the Botium Toys: Risk assessment document</w:t>
      </w:r>
    </w:p>
    <w:p w:rsidR="00000000" w:rsidDel="00000000" w:rsidP="00000000" w:rsidRDefault="00000000" w:rsidRPr="00000000" w14:paraId="0000000F">
      <w:pPr>
        <w:shd w:fill="ffffff" w:val="clear"/>
        <w:rPr>
          <w:color w:val="1f1f1f"/>
          <w:sz w:val="24"/>
          <w:szCs w:val="24"/>
        </w:rPr>
      </w:pPr>
      <w:r w:rsidDel="00000000" w:rsidR="00000000" w:rsidRPr="00000000">
        <w:rPr>
          <w:color w:val="1f1f1f"/>
          <w:sz w:val="24"/>
          <w:szCs w:val="24"/>
          <w:rtl w:val="0"/>
        </w:rPr>
        <w:t xml:space="preserve">Thank you, Botium Toys IT Manager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Based on the information provided in the email, it's clear that there are several key concerns and priorities that need to be addressed to improve Botium Toys' security posture and overall compliance. Let's address each of your questions: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Biggest Risks to the Organization:</w:t>
      </w:r>
    </w:p>
    <w:p w:rsidR="00000000" w:rsidDel="00000000" w:rsidP="00000000" w:rsidRDefault="00000000" w:rsidRPr="00000000" w14:paraId="00000019">
      <w:pPr>
        <w:rPr/>
      </w:pPr>
      <w:r w:rsidDel="00000000" w:rsidR="00000000" w:rsidRPr="00000000">
        <w:rPr>
          <w:rtl w:val="0"/>
        </w:rPr>
        <w:t xml:space="preserve">According to the email, the identified risks to the organization include: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Inadequate management of assets</w:t>
      </w:r>
    </w:p>
    <w:p w:rsidR="00000000" w:rsidDel="00000000" w:rsidP="00000000" w:rsidRDefault="00000000" w:rsidRPr="00000000" w14:paraId="0000001C">
      <w:pPr>
        <w:rPr/>
      </w:pPr>
      <w:r w:rsidDel="00000000" w:rsidR="00000000" w:rsidRPr="00000000">
        <w:rPr>
          <w:rtl w:val="0"/>
        </w:rPr>
        <w:t xml:space="preserve">Lack of proper controls in place</w:t>
      </w:r>
    </w:p>
    <w:p w:rsidR="00000000" w:rsidDel="00000000" w:rsidP="00000000" w:rsidRDefault="00000000" w:rsidRPr="00000000" w14:paraId="0000001D">
      <w:pPr>
        <w:rPr/>
      </w:pPr>
      <w:r w:rsidDel="00000000" w:rsidR="00000000" w:rsidRPr="00000000">
        <w:rPr>
          <w:rtl w:val="0"/>
        </w:rPr>
        <w:t xml:space="preserve">Potential non-compliance with U.S. and international regulations</w:t>
      </w:r>
    </w:p>
    <w:p w:rsidR="00000000" w:rsidDel="00000000" w:rsidP="00000000" w:rsidRDefault="00000000" w:rsidRPr="00000000" w14:paraId="0000001E">
      <w:pPr>
        <w:rPr/>
      </w:pPr>
      <w:r w:rsidDel="00000000" w:rsidR="00000000" w:rsidRPr="00000000">
        <w:rPr>
          <w:rtl w:val="0"/>
        </w:rPr>
        <w:t xml:space="preserve">These risks are collectively contributing to a high risk score of 8/10. Among these, the lack of controls and compliance adherence seem to be the most significant risks. The potential consequences of inadequate controls and non-compliance could result in security breaches, data loss, legal issues, and damage to the company's reputation.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Essential Controls to Implement Immediately vs. Future:</w:t>
      </w:r>
    </w:p>
    <w:p w:rsidR="00000000" w:rsidDel="00000000" w:rsidP="00000000" w:rsidRDefault="00000000" w:rsidRPr="00000000" w14:paraId="00000021">
      <w:pPr>
        <w:rPr/>
      </w:pPr>
      <w:r w:rsidDel="00000000" w:rsidR="00000000" w:rsidRPr="00000000">
        <w:rPr>
          <w:rtl w:val="0"/>
        </w:rPr>
        <w:t xml:space="preserve">The controls that are most essential to implement immediately would likely include those that address the high-risk areas identified in the risk assessment. Some of the controls mentioned in the provided information that should be considered for immediate implementation include: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Least Privilege: To restrict unnecessary access and mitigate the inadequate management of assets.</w:t>
      </w:r>
    </w:p>
    <w:p w:rsidR="00000000" w:rsidDel="00000000" w:rsidP="00000000" w:rsidRDefault="00000000" w:rsidRPr="00000000" w14:paraId="00000024">
      <w:pPr>
        <w:rPr/>
      </w:pPr>
      <w:r w:rsidDel="00000000" w:rsidR="00000000" w:rsidRPr="00000000">
        <w:rPr>
          <w:rtl w:val="0"/>
        </w:rPr>
        <w:t xml:space="preserve">Disaster Recovery Plans: To address the lack of proper controls and ensure business continuity.</w:t>
      </w:r>
    </w:p>
    <w:p w:rsidR="00000000" w:rsidDel="00000000" w:rsidP="00000000" w:rsidRDefault="00000000" w:rsidRPr="00000000" w14:paraId="00000025">
      <w:pPr>
        <w:rPr/>
      </w:pPr>
      <w:r w:rsidDel="00000000" w:rsidR="00000000" w:rsidRPr="00000000">
        <w:rPr>
          <w:rtl w:val="0"/>
        </w:rPr>
        <w:t xml:space="preserve">Password Policies: To enhance security and reduce the risk of unauthorized access.</w:t>
      </w:r>
    </w:p>
    <w:p w:rsidR="00000000" w:rsidDel="00000000" w:rsidP="00000000" w:rsidRDefault="00000000" w:rsidRPr="00000000" w14:paraId="00000026">
      <w:pPr>
        <w:rPr/>
      </w:pPr>
      <w:r w:rsidDel="00000000" w:rsidR="00000000" w:rsidRPr="00000000">
        <w:rPr>
          <w:rtl w:val="0"/>
        </w:rPr>
        <w:t xml:space="preserve">Access Control Policies: To establish proper access controls and improve compliance adherence.</w:t>
      </w:r>
    </w:p>
    <w:p w:rsidR="00000000" w:rsidDel="00000000" w:rsidP="00000000" w:rsidRDefault="00000000" w:rsidRPr="00000000" w14:paraId="00000027">
      <w:pPr>
        <w:rPr/>
      </w:pPr>
      <w:r w:rsidDel="00000000" w:rsidR="00000000" w:rsidRPr="00000000">
        <w:rPr>
          <w:rtl w:val="0"/>
        </w:rPr>
        <w:t xml:space="preserve">Account Management Policies: To reduce attack surface and ensure proper user access.</w:t>
      </w:r>
    </w:p>
    <w:p w:rsidR="00000000" w:rsidDel="00000000" w:rsidP="00000000" w:rsidRDefault="00000000" w:rsidRPr="00000000" w14:paraId="00000028">
      <w:pPr>
        <w:rPr/>
      </w:pPr>
      <w:r w:rsidDel="00000000" w:rsidR="00000000" w:rsidRPr="00000000">
        <w:rPr>
          <w:rtl w:val="0"/>
        </w:rPr>
        <w:t xml:space="preserve">These controls directly address the identified risks and contribute to improving the organization's security posture and compliance.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Compliance Regulations for Customer and Vendor Data Safety:</w:t>
      </w:r>
    </w:p>
    <w:p w:rsidR="00000000" w:rsidDel="00000000" w:rsidP="00000000" w:rsidRDefault="00000000" w:rsidRPr="00000000" w14:paraId="0000002B">
      <w:pPr>
        <w:rPr/>
      </w:pPr>
      <w:r w:rsidDel="00000000" w:rsidR="00000000" w:rsidRPr="00000000">
        <w:rPr>
          <w:rtl w:val="0"/>
        </w:rPr>
        <w:t xml:space="preserve">The email doesn't explicitly mention the specific compliance regulations that Botium Toys needs to adhere to. However, considering the importance of customer and vendor data safety, the company should prioritize compliance with regulations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General Data Protection Regulation (GDPR): If the company deals with EU customer data.</w:t>
      </w:r>
    </w:p>
    <w:p w:rsidR="00000000" w:rsidDel="00000000" w:rsidP="00000000" w:rsidRDefault="00000000" w:rsidRPr="00000000" w14:paraId="0000002E">
      <w:pPr>
        <w:rPr/>
      </w:pPr>
      <w:r w:rsidDel="00000000" w:rsidR="00000000" w:rsidRPr="00000000">
        <w:rPr>
          <w:rtl w:val="0"/>
        </w:rPr>
        <w:t xml:space="preserve">Payment Card Industry Data Security Standard (PCI DSS): If the company accepts payment cards.</w:t>
      </w:r>
    </w:p>
    <w:p w:rsidR="00000000" w:rsidDel="00000000" w:rsidP="00000000" w:rsidRDefault="00000000" w:rsidRPr="00000000" w14:paraId="0000002F">
      <w:pPr>
        <w:rPr/>
      </w:pPr>
      <w:r w:rsidDel="00000000" w:rsidR="00000000" w:rsidRPr="00000000">
        <w:rPr>
          <w:rtl w:val="0"/>
        </w:rPr>
        <w:t xml:space="preserve">Health Insurance Portability and Accountability Act (HIPAA): If the company deals with health-related information.</w:t>
      </w:r>
    </w:p>
    <w:p w:rsidR="00000000" w:rsidDel="00000000" w:rsidP="00000000" w:rsidRDefault="00000000" w:rsidRPr="00000000" w14:paraId="00000030">
      <w:pPr>
        <w:rPr/>
      </w:pPr>
      <w:r w:rsidDel="00000000" w:rsidR="00000000" w:rsidRPr="00000000">
        <w:rPr>
          <w:rtl w:val="0"/>
        </w:rPr>
        <w:t xml:space="preserve">California Consumer Privacy Act (CCPA): If the company interacts with California residents' data.</w:t>
      </w:r>
    </w:p>
    <w:p w:rsidR="00000000" w:rsidDel="00000000" w:rsidP="00000000" w:rsidRDefault="00000000" w:rsidRPr="00000000" w14:paraId="00000031">
      <w:pPr>
        <w:rPr/>
      </w:pPr>
      <w:r w:rsidDel="00000000" w:rsidR="00000000" w:rsidRPr="00000000">
        <w:rPr>
          <w:rtl w:val="0"/>
        </w:rPr>
        <w:t xml:space="preserve">Adhering to these regulations ensures that customer and vendor data is handled securely and that the company avoids potential fines and legal consequences.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summary, the biggest risks to Botium Toys are inadequate asset management, lack of proper controls, and potential compliance issues. Immediate implementation of controls like Least Privilege, Disaster Recovery Plans, Password Policies, Access Control Policies, and Account Management Policies is essential. Additionally, compliance with relevant regulations such as GDPR, PCI DSS and CCPA is crucial for maintaining data safety and avoiding penalties.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