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Botium Toys needs to adhere to GDPR if they process data of European Union (EU) citizens, regardless of whether the processing occurs within or outside the EU. The reasons are:</w:t>
      </w:r>
    </w:p>
    <w:p w:rsidR="00000000" w:rsidDel="00000000" w:rsidP="00000000" w:rsidRDefault="00000000" w:rsidRPr="00000000" w14:paraId="0000000A">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B">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Data Protection: GDPR ensures the protection of personal data and privacy rights of EU citizens. Botium Toys must implement measures to secure this data and ensure it is processed lawfully and fairly.</w:t>
      </w:r>
    </w:p>
    <w:p w:rsidR="00000000" w:rsidDel="00000000" w:rsidP="00000000" w:rsidRDefault="00000000" w:rsidRPr="00000000" w14:paraId="0000000C">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D">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Transparency and Consent: GDPR mandates that individuals must give informed consent for their data to be processed. This requires Botium Toys to be transparent about data processing practices and to obtain explicit consent when necessary.</w:t>
      </w:r>
    </w:p>
    <w:p w:rsidR="00000000" w:rsidDel="00000000" w:rsidP="00000000" w:rsidRDefault="00000000" w:rsidRPr="00000000" w14:paraId="0000000E">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F">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Breach Notification: In case of a data breach that risks individuals' rights and freedoms, Botium Toys must notify affected individuals within 72 hours. This ensures that individuals are informed promptly about potential risks to their data.</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Accountability: GDPR requires organizations to be accountable for data processing activities. This includes appointing a Data Protection Officer (DPO) and implementing measures to demonstrate compliance.</w:t>
      </w:r>
    </w:p>
    <w:p w:rsidR="00000000" w:rsidDel="00000000" w:rsidP="00000000" w:rsidRDefault="00000000" w:rsidRPr="00000000" w14:paraId="00000012">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14">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Payment Card Industry Data Security Standard (PCI DSS):</w:t>
      </w:r>
    </w:p>
    <w:p w:rsidR="00000000" w:rsidDel="00000000" w:rsidP="00000000" w:rsidRDefault="00000000" w:rsidRPr="00000000" w14:paraId="00000015">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Botium Toys needs to adhere to PCI DSS if they store, accept, process, or transmit credit card information. The reasons are:</w:t>
      </w:r>
    </w:p>
    <w:p w:rsidR="00000000" w:rsidDel="00000000" w:rsidP="00000000" w:rsidRDefault="00000000" w:rsidRPr="00000000" w14:paraId="00000016">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7">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Credit Card Data Protection: PCI DSS ensures that credit card data is handled securely throughout the entire payment process, reducing the risk of data breaches and fraud.</w:t>
      </w:r>
    </w:p>
    <w:p w:rsidR="00000000" w:rsidDel="00000000" w:rsidP="00000000" w:rsidRDefault="00000000" w:rsidRPr="00000000" w14:paraId="00000018">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Customer Trust: Compliance with PCI DSS demonstrates to customers that Botium Toys takes their financial data security seriously, enhancing customer trust and reputation.</w:t>
      </w:r>
    </w:p>
    <w:p w:rsidR="00000000" w:rsidDel="00000000" w:rsidP="00000000" w:rsidRDefault="00000000" w:rsidRPr="00000000" w14:paraId="0000001A">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B">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Avoiding Fines and Legal Consequences: Non-compliance with PCI DSS can result in hefty fines and legal consequences. Adhering to the standard helps Botium Toys avoid financial penalties and legal disputes.</w:t>
      </w:r>
    </w:p>
    <w:p w:rsidR="00000000" w:rsidDel="00000000" w:rsidP="00000000" w:rsidRDefault="00000000" w:rsidRPr="00000000" w14:paraId="0000001C">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1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1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F">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2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21">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Botium Toys needs to consider SOC type 1 and SOC type 2 reports to assess their user access policies, financial compliance, and overall data safety. The reasons are:</w:t>
      </w:r>
    </w:p>
    <w:p w:rsidR="00000000" w:rsidDel="00000000" w:rsidP="00000000" w:rsidRDefault="00000000" w:rsidRPr="00000000" w14:paraId="00000022">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3">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Risk Management: SOC reports help Botium Toys identify and manage risks associated with user access, financial processes, and data security. This enables the organization to prevent potential issues and vulnerabilities.</w:t>
      </w:r>
    </w:p>
    <w:p w:rsidR="00000000" w:rsidDel="00000000" w:rsidP="00000000" w:rsidRDefault="00000000" w:rsidRPr="00000000" w14:paraId="00000024">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5">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Data Integrity and Availability: SOC reports evaluate the integrity and availability of data, ensuring that systems and controls are in place to prevent unauthorized access and data loss.</w:t>
      </w:r>
    </w:p>
    <w:p w:rsidR="00000000" w:rsidDel="00000000" w:rsidP="00000000" w:rsidRDefault="00000000" w:rsidRPr="00000000" w14:paraId="00000026">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7">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Trust and Transparency: SOC reports provide customers, vendors, and stakeholders with a level of assurance that Botium Toys is operating with proper controls and security measures in place.</w:t>
      </w:r>
    </w:p>
    <w:p w:rsidR="00000000" w:rsidDel="00000000" w:rsidP="00000000" w:rsidRDefault="00000000" w:rsidRPr="00000000" w14:paraId="00000028">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Financial Compliance: SOC type 1 and SOC type 2 reports assess financial compliance, helping Botium Toys meet industry and regulatory requirements related to financial data integrity.</w:t>
      </w:r>
    </w:p>
    <w:p w:rsidR="00000000" w:rsidDel="00000000" w:rsidP="00000000" w:rsidRDefault="00000000" w:rsidRPr="00000000" w14:paraId="0000002A">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B">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In summary, applying these compliance regulations (GDPR, PCI DSS, SOC type 1, SOC type 2) helps Botium Toys protect customer data, enhance trust, avoid legal consequences, and demonstrate accountability in their operations.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