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Governance Policy</w:t>
      </w:r>
    </w:p>
    <w:p>
      <w:r>
        <w:t>Date: 2026-02-18</w:t>
      </w:r>
    </w:p>
    <w:p>
      <w:r>
        <w:t>AI Governance Policy documents DocuLens AI quality, reviewer responsibility, and citation rules.</w:t>
      </w:r>
    </w:p>
    <w:p>
      <w:r>
        <w:t>This document belongs to the one-year operating history of NuriFlow Systems (누리플로우 시스템즈), a Seoul-headquartered B2B SaaS company with 186 employees and USD 28.4M ARR at FY2026 close. Its core products are FlowDesk, DocuLens AI, InsightBridge, LaunchOps onboarding, and regulated-industry workflow consulting. The company serves mid-market firms in logistics, manufacturing, healthcare operations, professional services, and regulated finance. The business model combines annual subscriptions, implementation packages, managed analytics, and limited strategic consulting for customers who need change management. Internal teams use Korean and English interchangeably; therefore some records include Korean search anchors such as 회사 미션, 신제품 출시, Q1 2026 매출, and HR 정책.</w:t>
      </w:r>
    </w:p>
    <w:p>
      <w:r>
        <w:t>The main issue in this file is DocuLens AI quality, reviewer responsibility, and citation rules. Executives evaluate it through three lenses: customer confidence, implementation capacity, and measurable operating leverage. Customer confidence means the buyer can trace every automation decision back to a source paragraph or approved workflow rule. Implementation capacity means the services team can deliver without creating unpriced custom work. Operating leverage means recurring revenue grows faster than support load, with product education absorbing repeated questions. These lenses appear in the company brochure, quarterly reviews, launch notes, contract exhibits, and HR policies.</w:t>
      </w:r>
    </w:p>
    <w:p>
      <w:r>
        <w:t>Related resources: [[Company-Brochure-v1]], [[HR-Policy-Handbook-2026]].</w:t>
      </w:r>
    </w:p>
    <w:p>
      <w:r>
        <w:t>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