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Policy 2026</w:t>
      </w:r>
    </w:p>
    <w:p>
      <w:r>
        <w:t>Date: 2026-02-18</w:t>
      </w:r>
    </w:p>
    <w:p>
      <w:r>
        <w:t>Security Policy 2026 documents access control, incident response, vendor review, and audit logs.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access control, incident response, vendor review, and audit logs.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[[HR-Policy-Handbook-2026]].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