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Company Timeline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00-About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00-about, company-timeline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Executive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published</w:t>
            </w:r>
          </w:p>
        </w:tc>
      </w:tr>
    </w:tbl>
    <w:p>
      <w:pPr>
        <w:pStyle w:val="Title"/>
      </w:pPr>
      <w:r>
        <w:t>Company History Timeline</w:t>
      </w:r>
    </w:p>
    <w:p>
      <w:pPr>
        <w:pStyle w:val="Heading1"/>
      </w:pPr>
      <w:r>
        <w:t>Timeline</w:t>
      </w:r>
    </w:p>
    <w:p>
      <w:r>
        <w:t>2022: FlowDesk prototype shipped. 2023: Seoul HQ expanded. 2024: DocuLens AI pilot launched. 2025: LaunchOps enterprise deployments scaled. 2026: Marketplace Preview partner program opened.</w:t>
      </w:r>
    </w:p>
    <w:p>
      <w:pPr>
        <w:pStyle w:val="Heading1"/>
      </w:pPr>
      <w:r>
        <w:t>Continuity</w:t>
      </w:r>
    </w:p>
    <w:p>
      <w:r>
        <w:t>The mission remained stable: teams should spend less time chasing documents and more time making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