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2025-05-31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adoption-0bc057, readiness-057459, partner-4595eb, clause-5eb156, exception-156bc7, readiness-bc7af3, workflow-af3ce2, readiness-ce20be, queue-0be9fb, partner-9fba10, security-a10bf6, customer-bf667a, margin-67ad7e, owner-d7e728, evidence-72864f, finance-64fd12, enablement-d12b25, security-b252a3, enablement-2a33bd, scope-3bd337, product-337e, audit-e, milestone-c05745, legal-74595e, security-95eb15, milestone-b156bc, clause-6bc7af, milestone-7af3ce, reviewer-3ce20b, clause-20be9f, clause-e9fba1, template-ba10bf, template-0bf667, latency-667ad7, readiness-ad7e72, launch-e72864. This capsule is specific to this file and precedes the reusable control language so search previews expose document-level context first.</w:t>
      </w:r>
    </w:p>
    <w:p>
      <w:pPr>
        <w:pStyle w:val="Title"/>
      </w:pPr>
      <w:r>
        <w:t>Hanbit Manufacturing LaunchOps Data Processing Addendum 2025-05-31</w:t>
      </w:r>
    </w:p>
    <w:p>
      <w:pPr>
        <w:pStyle w:val="Heading1"/>
      </w:pPr>
      <w:r>
        <w:t>Summary</w:t>
      </w:r>
    </w:p>
    <w:p>
      <w:r>
        <w:t>The file opens from a customer escalation review rather than a template queue; the owner captured exact source paragraphs before any commercial language was drafted. Evidence marker NF-7716; customer=Hanbit Manufacturing; industry=advanced manufacturing; product=LaunchOps; companion_product=FlowDesk; office_scope=Seoul HQ, Singapore customer success office, and Austin partnership desk.</w:t>
      </w:r>
    </w:p>
    <w:p>
      <w:r>
        <w:t>Contract type: Data Processing Addendum. Scope covers confidentiality, service acceptance, liability boundaries, data processing, partner handoff, and exception routing for LaunchOps.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FlowDesk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