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Contract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10-Contracts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10-contracts, contract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2025-05-31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Legal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budget-8ce042, margin-042c61, forecast-c61ceb, clause-ceb32d, budget-32dd4a, latency-d4a825, owner-8256ee, margin-6ee7c5, exception-7c5243, regional-2436b6, security-6b61ee, customer-1eea5e, control-a5e549, control-549905, engineering-905004, enablement-004c07, evidence-c07cc4, engineering-cc44c8, finance-4c83ad, regional-3ad544, legal-5440, engineering-0, milestone-e042c6, adoption-2c61ce, support-1ceb32, adoption-b32dd4, support-dd4a82, account-a8256e, template-56ee7c, template-e7c524, milestone-52436b, source-36b61e, variance-61eea5, scope-ea5e54, citation-e54990, readiness-990500. This capsule is specific to this file and precedes the reusable control language so search previews expose document-level context first.</w:t>
      </w:r>
    </w:p>
    <w:p>
      <w:pPr>
        <w:pStyle w:val="Title"/>
      </w:pPr>
      <w:r>
        <w:t>BlueHarbor Logistics FlowDesk NDA 2025-05-31</w:t>
      </w:r>
    </w:p>
    <w:p>
      <w:pPr>
        <w:pStyle w:val="Heading1"/>
      </w:pPr>
      <w:r>
        <w:t>Summary</w:t>
      </w:r>
    </w:p>
    <w:p>
      <w:r>
        <w:t>This sample begins with a regional rollout constraint: Singapore support capacity, Austin partner timing, and Seoul legal review had to be reconciled in one evidence trail. Evidence marker NF-6824; customer=BlueHarbor Logistics; industry=regional logistics; product=FlowDesk; companion_product=InsightBridge; office_scope=Seoul HQ, Singapore customer success office, and Austin partnership desk.</w:t>
      </w:r>
    </w:p>
    <w:p>
      <w:r>
        <w:t>Contract type: NDA. Scope covers confidentiality, service acceptance, liability boundaries, data processing, partner handoff, and exception routing for FlowDesk.</w:t>
      </w:r>
    </w:p>
    <w:p>
      <w:pPr>
        <w:pStyle w:val="Heading1"/>
      </w:pPr>
      <w:r>
        <w:t>Terms</w:t>
      </w:r>
    </w:p>
    <w:p>
      <w:r>
        <w:t>Legal owns redlines, Security owns DPA exhibits, CS owns acceptance evidence, and Product confirms that InsightBridge references do not create unsupported commitments.</w:t>
      </w:r>
    </w:p>
    <w:p>
      <w:pPr>
        <w:pStyle w:val="Heading1"/>
      </w:pPr>
      <w:r>
        <w:t>Controls</w:t>
      </w:r>
    </w:p>
    <w:p>
      <w:r>
        <w:t>Exception process requires rationale, compensating control, owner, expiration date, and account record update. Mission reference: teams should spend less time chasing documents and more time making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