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2025-05-31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exception-9b6bae, readiness-bae979, budget-9790d9, partner-0d9d0e, partner-d0e4c1, deadline-4c19a3, control-9a328c, partner-28ccb8, queue-cb85a6, exception-5a6e54, product-e54749, evidence-749739, legal-739ceb, margin-cebf56, enablement-f56974, deadline-97461a, enablement-61afaf, owner-faf7a5, engineering-7a5bd0, account-bd047b, product-47b8, product-8, executive-6bae97, policy-e9790d, milestone-90d9d0, milestone-9d0e4c, scope-e4c19a, template-19a328, variance-328ccb, policy-ccb85a, latency-85a6e5, milestone-6e5474, milestone-474973, clause-9739ce, variance-9cebf5, latency-bf5697. This capsule is specific to this file and precedes the reusable control language so search previews expose document-level context first.</w:t>
      </w:r>
    </w:p>
    <w:p>
      <w:pPr>
        <w:pStyle w:val="Title"/>
      </w:pPr>
      <w:r>
        <w:t>Mirae Health Network LaunchOps Data Processing Addendum 2025-05-31</w:t>
      </w:r>
    </w:p>
    <w:p>
      <w:pPr>
        <w:pStyle w:val="Heading1"/>
      </w:pPr>
      <w:r>
        <w:t>Summary</w:t>
      </w:r>
    </w:p>
    <w:p>
      <w:r>
        <w:t>The document records a late-stage executive question about measurable adoption, so the first page emphasizes proof, owner names, and decision timing. Evidence marker NF-8013; customer=Mirae Health Network; industry=healthcare operations; product=LaunchOps; companion_product=FlowDesk; office_scope=Seoul HQ, Singapore customer success office, and Austin partnership desk.</w:t>
      </w:r>
    </w:p>
    <w:p>
      <w:r>
        <w:t>Contract type: Data Processing Addendum. Scope covers confidentiality, service acceptance, liability boundaries, data processing, partner handoff, and exception routing for LaunchOps.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FlowDesk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