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2025-05-31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source-5e648d, control-48dc55, budget-c55d2f, latency-d2f545, readiness-545ffe, owner-ffeebe, owner-ebe0c6, readiness-0c6b7a, margin-b7a80c, customer-80c69c, readiness-69c508, finance-508ec8, queue-ec8320, queue-320fe8, deadline-fe8ab8, executive-ab8f21, support-f215cf, support-5cf0d4, template-0d4627, executive-627de1, scope-de12, regional-2, scope-648dc5, account-dc55d2, policy-5d2f54, template-f545ff, milestone-5ffeeb, policy-eebe0c, enablement-e0c6b7, launch-6b7a80, milestone-a80c69, clause-c69c50, latency-c508ec, variance-8ec832, scope-8320fe, reviewer-0fe8ab. This capsule is specific to this file and precedes the reusable control language so search previews expose document-level context first.</w:t>
      </w:r>
    </w:p>
    <w:p>
      <w:pPr>
        <w:pStyle w:val="Title"/>
      </w:pPr>
      <w:r>
        <w:t>Aster Public Services FlowDesk NDA 2025-05-31</w:t>
      </w:r>
    </w:p>
    <w:p>
      <w:pPr>
        <w:pStyle w:val="Heading1"/>
      </w:pPr>
      <w:r>
        <w:t>Summary</w:t>
      </w:r>
    </w:p>
    <w:p>
      <w:r>
        <w:t>This version was prepared after a security objection, so the opening language names the control surface before discussing product benefits or timeline. Evidence marker NF-6915; customer=Aster Public Services; industry=public sector; product=FlowDesk; companion_product=InsightBridge; office_scope=Seoul HQ, Singapore customer success office, and Austin partnership desk.</w:t>
      </w:r>
    </w:p>
    <w:p>
      <w:r>
        <w:t>Contract type: NDA. Scope covers confidentiality, service acceptance, liability boundaries, data processing, partner handoff, and exception routing for FlowDesk.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InsightBridge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