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workflow-aa7520, citation-520c40, exception-c407b5, budget-7b54f6, reviewer-4f6501, source-501f25, owner-f25bae, citation-baeaa4, budget-aa4534, forecast-534ecc, regional-ecc73c, forecast-73ccff, forecast-cffd41, enablement-d41fae, evidence-faec56, evidence-c56384, forecast-384c35, owner-c355b0, audit-5b03d8, regional-3d8833, legal-8332, template-2, template-7520c4, adoption-0c407b, scope-07b54f, policy-54f650, executive-6501f2, template-1f25ba, support-5baeaa, audit-eaa453, latency-4534ec, reviewer-4ecc73, latency-c73ccf, clause-ccffd4, adoption-fd41fa, workflow-1faec5. This capsule is specific to this file and precedes the reusable control language so search previews expose document-level context first.</w:t>
      </w:r>
    </w:p>
    <w:p>
      <w:pPr>
        <w:pStyle w:val="Title"/>
      </w:pPr>
      <w:r>
        <w:t>Vela Energy FlowDesk NDA 2025-05-31</w:t>
      </w:r>
    </w:p>
    <w:p>
      <w:pPr>
        <w:pStyle w:val="Heading1"/>
      </w:pPr>
      <w:r>
        <w:t>Summary</w:t>
      </w:r>
    </w:p>
    <w:p>
      <w:r>
        <w:t>The document captures a board-prep perspective where finance, product, and customer evidence need to tell the same story without overstating automation. Evidence marker NF-4819; customer=Vela Energy; industry=renewable energy; product=FlowDesk; companion_product=InsightBridge; office_scope=Seoul HQ, Singapore customer success office, and Austin partnership desk.</w:t>
      </w:r>
    </w:p>
    <w:p>
      <w:r>
        <w:t>Contract type: NDA. Scope covers confidentiality, service acceptance, liability boundaries, data processing, partner handoff, and exception routing for FlowDesk.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InsightBridge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