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Contract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10-Contracts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10-contracts, contract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2025-05-31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Legal Operations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citation-b7e5f0, budget-5f0d90, forecast-d9064d, budget-64d1d8, deadline-1d8d91, source-d91d3d, deadline-d3d35b, forecast-35bb12, budget-b12af6, control-af687c, partner-87ccc3, security-cc3805, margin-805ab2, finance-ab29ed, customer-9ede63, enablement-e63028, legal-0285da, owner-5da56b, support-56bce1, customer-ce1f3e, audit-f3eb, security-b, engineering-e5f0d9, scope-0d9064, policy-064d1d, finance-d1d8d9, enablement-8d91d3, adoption-1d3d35, reviewer-d35bb1, policy-bb12af, variance-2af687, variance-687ccc, latency-ccc380, budget-3805ab, exception-5ab29e, variance-29ede6. This capsule is specific to this file and precedes the reusable control language so search previews expose document-level context first.</w:t>
      </w:r>
    </w:p>
    <w:p>
      <w:pPr>
        <w:pStyle w:val="Title"/>
      </w:pPr>
      <w:r>
        <w:t>Daehan Mobility Marketplace Preview Partnership Agreement 2025-05-31</w:t>
      </w:r>
    </w:p>
    <w:p>
      <w:pPr>
        <w:pStyle w:val="Heading1"/>
      </w:pPr>
      <w:r>
        <w:t>Summary</w:t>
      </w:r>
    </w:p>
    <w:p>
      <w:r>
        <w:t>The first review came from People Operations, which forced the author to separate manager accountability, policy compliance, and product workflow evidence. Evidence marker NF-7444; customer=Daehan Mobility; industry=transportation; product=Marketplace Preview; companion_product=DocuLens AI; office_scope=Seoul HQ, Singapore customer success office, and Austin partnership desk.</w:t>
      </w:r>
    </w:p>
    <w:p>
      <w:r>
        <w:t>Contract type: Partnership Agreement. Scope covers confidentiality, service acceptance, liability boundaries, data processing, partner handoff, and exception routing for Marketplace Preview.</w:t>
      </w:r>
    </w:p>
    <w:p>
      <w:pPr>
        <w:pStyle w:val="Heading1"/>
      </w:pPr>
      <w:r>
        <w:t>Terms</w:t>
      </w:r>
    </w:p>
    <w:p>
      <w:r>
        <w:t>Legal owns redlines, Security owns DPA exhibits, CS owns acceptance evidence, and Product confirms that DocuLens AI references do not create unsupported commitments.</w:t>
      </w:r>
    </w:p>
    <w:p>
      <w:pPr>
        <w:pStyle w:val="Heading1"/>
      </w:pPr>
      <w:r>
        <w:t>Controls</w:t>
      </w:r>
    </w:p>
    <w:p>
      <w:r>
        <w:t>Exception process requires rationale, compensating control, owner, expiration date, and account record update. Mission reference: teams should spend less time chasing documents and more time making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