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Contract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10-Contracts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10-contracts, contract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2025-05-31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Legal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budget-835383, launch-38318a, latency-18a9b8, reviewer-9b8a6a, readiness-a6a575, budget-5758c4, latency-8c4fde, control-fdedf1, owner-df1b60, owner-b60719, regional-7199aa, deadline-9aae6f, customer-e6f42d, deadline-42d601, security-6013fb, evidence-3fbef7, product-ef7fa6, customer-fa669b, finance-69bcc8, support-cc85c1, security-5c13, milestone-3, policy-538318, adoption-318a9b, adoption-a9b8a6, clause-8a6a57, engineering-a5758c, variance-58c4fd, scope-4fdedf, account-edf1b6, adoption-1b6071, template-07199a, launch-99aae6, source-ae6f42, latency-f42d60, budget-d6013f. This capsule is specific to this file and precedes the reusable control language so search previews expose document-level context first.</w:t>
      </w:r>
    </w:p>
    <w:p>
      <w:pPr>
        <w:pStyle w:val="Title"/>
      </w:pPr>
      <w:r>
        <w:t>Atlas Biotech FlowDesk NDA 2025-05-31</w:t>
      </w:r>
    </w:p>
    <w:p>
      <w:pPr>
        <w:pStyle w:val="Heading1"/>
      </w:pPr>
      <w:r>
        <w:t>Summary</w:t>
      </w:r>
    </w:p>
    <w:p>
      <w:r>
        <w:t>The partner team requested a shorter approval path; this file documents the safeguards that keep speed from bypassing Legal, Security, or Product review. Evidence marker NF-8499; customer=Atlas Biotech; industry=life sciences; product=FlowDesk; companion_product=InsightBridge; office_scope=Seoul HQ, Singapore customer success office, and Austin partnership desk.</w:t>
      </w:r>
    </w:p>
    <w:p>
      <w:r>
        <w:t>Contract type: NDA. Scope covers confidentiality, service acceptance, liability boundaries, data processing, partner handoff, and exception routing for FlowDesk.</w:t>
      </w:r>
    </w:p>
    <w:p>
      <w:pPr>
        <w:pStyle w:val="Heading1"/>
      </w:pPr>
      <w:r>
        <w:t>Terms</w:t>
      </w:r>
    </w:p>
    <w:p>
      <w:r>
        <w:t>Legal owns redlines, Security owns DPA exhibits, CS owns acceptance evidence, and Product confirms that InsightBridge references do not create unsupported commitments.</w:t>
      </w:r>
    </w:p>
    <w:p>
      <w:pPr>
        <w:pStyle w:val="Heading1"/>
      </w:pPr>
      <w:r>
        <w:t>Controls</w:t>
      </w:r>
    </w:p>
    <w:p>
      <w:r>
        <w:t>Exception process requires rationale, compensating control, owner, expiration date, and account record update. Mission reference: teams should spend less time chasing documents and more time making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