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Contract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10-Contracts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10-contracts, contract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2025-05-31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Legal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variance-159c43, reviewer-c43fc6, citation-fc6191, control-19164f, budget-64f773, budget-773887, regional-887477, deadline-4777f4, partner-7f46fa, workflow-6faf93, deadline-f937dd, readiness-7ddeea, owner-eea4b2, queue-4b2a7d, account-a7d4b1, customer-4b1ea5, product-ea54db, evidence-4dbf03, finance-f03205, engineering-205f70, engineering-f70b, legal-b, account-9c43fc, executive-3fc619, support-619164, clause-164f77, executive-f77388, audit-388747, reviewer-74777f, renewal-77f46f, budget-46faf9, clause-af937d, policy-37ddee, clause-deea4b, workflow-a4b2a7, citation-2a7d4b. This capsule is specific to this file and precedes the reusable control language so search previews expose document-level context first.</w:t>
      </w:r>
    </w:p>
    <w:p>
      <w:pPr>
        <w:pStyle w:val="Title"/>
      </w:pPr>
      <w:r>
        <w:t>Orchid Robotics DocuLens AI Master Services Agreement 2025-05-31</w:t>
      </w:r>
    </w:p>
    <w:p>
      <w:pPr>
        <w:pStyle w:val="Heading1"/>
      </w:pPr>
      <w:r>
        <w:t>Summary</w:t>
      </w:r>
    </w:p>
    <w:p>
      <w:r>
        <w:t>The account team used this artifact to settle a disagreement about scope, replacing generic boilerplate with concrete acceptance criteria and named operational owners. Evidence marker NF-9615; customer=Orchid Robotics; industry=industrial automation; product=DocuLens AI; companion_product=LaunchOps; office_scope=Seoul HQ, Singapore customer success office, and Austin partnership desk.</w:t>
      </w:r>
    </w:p>
    <w:p>
      <w:r>
        <w:t>Contract type: Master Services Agreement. Scope covers confidentiality, service acceptance, liability boundaries, data processing, partner handoff, and exception routing for DocuLens AI.</w:t>
      </w:r>
    </w:p>
    <w:p>
      <w:pPr>
        <w:pStyle w:val="Heading1"/>
      </w:pPr>
      <w:r>
        <w:t>Terms</w:t>
      </w:r>
    </w:p>
    <w:p>
      <w:r>
        <w:t>Legal owns redlines, Security owns DPA exhibits, CS owns acceptance evidence, and Product confirms that LaunchOps references do not create unsupported commitments.</w:t>
      </w:r>
    </w:p>
    <w:p>
      <w:pPr>
        <w:pStyle w:val="Heading1"/>
      </w:pPr>
      <w:r>
        <w:t>Controls</w:t>
      </w:r>
    </w:p>
    <w:p>
      <w:r>
        <w:t>Exception process requires rationale, compensating control, owner, expiration date, and account record update. Mission reference: teams should spend less time chasing documents and more time making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