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2025-05-31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partner-ed6eb0, partner-eb0de2, budget-de20fe, queue-0fecc3, control-cc3fa6, source-fa63ae, deadline-3ae76f, regional-76fd17, workflow-d17ef9, exception-ef9492, legal-49244f, legal-44f9d7, security-9d77c0, legal-7c0c24, queue-c24dc0, executive-dc0072, finance-072fdf, product-fdfbc7, regional-bc7408, account-408d88, scope-d889, enablement-9, enablement-6eb0de, variance-0de20f, adoption-20fecc, finance-ecc3fa, audit-3fa63a, launch-63ae76, reviewer-e76fd1, variance-fd17ef, scope-7ef949, clause-949244, scope-244f9d, adoption-f9d77c, variance-77c0c2, margin-0c24dc. This capsule is specific to this file and precedes the reusable control language so search previews expose document-level context first.</w:t>
      </w:r>
    </w:p>
    <w:p>
      <w:pPr>
        <w:pStyle w:val="Title"/>
      </w:pPr>
      <w:r>
        <w:t>Pine Street Capital LaunchOps Data Processing Addendum 2025-05-31</w:t>
      </w:r>
    </w:p>
    <w:p>
      <w:pPr>
        <w:pStyle w:val="Heading1"/>
      </w:pPr>
      <w:r>
        <w:t>Summary</w:t>
      </w:r>
    </w:p>
    <w:p>
      <w:r>
        <w:t>This sample starts with a data-retention concern because the customer needed confidence that every extracted fact could be traced to a reviewed paragraph. Evidence marker NF-1910; customer=Pine Street Capital; industry=private markets; product=LaunchOps; companion_product=FlowDesk; office_scope=Seoul HQ, Singapore customer success office, and Austin partnership desk.</w:t>
      </w:r>
    </w:p>
    <w:p>
      <w:r>
        <w:t>Contract type: Data Processing Addendum. Scope covers confidentiality, service acceptance, liability boundaries, data processing, partner handoff, and exception routing for LaunchOps.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FlowDesk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