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2025-11-30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control-f0a231, variance-231429, readiness-4297af, source-7af196, latency-196de7, reviewer-de7816, workflow-81665c, exception-65c0d2, queue-0d27a4, forecast-7a4e1f, evidence-e1f466, finance-466aec, margin-aeca55, customer-a5542c, evidence-42cb65, enablement-b65a8f, executive-a8ffb1, security-fb1540, finance-540b3f, evidence-b3f6b0, finance-6b03, engineering-3, engineering-a23142, policy-14297a, security-97af19, variance-f196de, enablement-6de781, scope-781665, variance-665c0d, audit-c0d27a, latency-27a4e1, template-4e1f46, workflow-f466ae, adoption-6aeca5, clause-ca5542, launch-542cb6. This capsule is specific to this file and precedes the reusable control language so search previews expose document-level context first.</w:t>
      </w:r>
    </w:p>
    <w:p>
      <w:pPr>
        <w:pStyle w:val="Title"/>
      </w:pPr>
      <w:r>
        <w:t>Seorak Foods Marketplace Preview Partnership Agreement 2025-11-30</w:t>
      </w:r>
    </w:p>
    <w:p>
      <w:pPr>
        <w:pStyle w:val="Heading1"/>
      </w:pPr>
      <w:r>
        <w:t>Summary</w:t>
      </w:r>
    </w:p>
    <w:p>
      <w:r>
        <w:t>The operating context is a multi-department checkpoint: Sales needs value evidence, CS needs adoption facts, Product needs usage signals, and Engineering needs latency data. Evidence marker NF-1252; customer=Seorak Foods; industry=food distribution; product=Marketplace Preview; companion_product=DocuLens AI; office_scope=Seoul HQ, Singapore customer success office, and Austin partnership desk.</w:t>
      </w:r>
    </w:p>
    <w:p>
      <w:r>
        <w:t>Contract type: Partnership Agreement. Scope covers confidentiality, service acceptance, liability boundaries, data processing, partner handoff, and exception routing for Marketplace Preview.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DocuLens AI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