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10-Contracts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10-contracts, contract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2025-11-30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Legal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budget-89449e, workflow-49e905, reviewer-905a1e, latency-a1e2a0, margin-2a0042, deadline-042077, control-077fcf, latency-fcf31e, margin-31efc2, deadline-fc2dd1, citation-dd1f08, legal-f0891f, partner-91f93b, product-93bc82, partner-c82648, control-648f28, evidence-f28150, deadline-15039e, owner-39e470, finance-47092c, engineering-92c3, milestone-3, scope-449e90, variance-e905a1, engineering-5a1e2a, finance-e2a004, clause-004207, source-2077fc, clause-7fcf31, support-f31efc, reviewer-efc2dd, latency-2dd1f0, audit-1f0891, citation-891f93, scope-f93bc8, reviewer-bc8264. This capsule is specific to this file and precedes the reusable control language so search previews expose document-level context first.</w:t>
      </w:r>
    </w:p>
    <w:p>
      <w:pPr>
        <w:pStyle w:val="Title"/>
      </w:pPr>
      <w:r>
        <w:t>MetroLearn DocuLens AI Master Services Agreement 2025-11-30</w:t>
      </w:r>
    </w:p>
    <w:p>
      <w:pPr>
        <w:pStyle w:val="Heading1"/>
      </w:pPr>
      <w:r>
        <w:t>Summary</w:t>
      </w:r>
    </w:p>
    <w:p>
      <w:r>
        <w:t>The text was tailored for a regulated buyer who asked for clear exception handling before discussing rollout dates, training plans, or expansion economics. Evidence marker NF-4520; customer=MetroLearn; industry=education technology; product=DocuLens AI; companion_product=LaunchOps; office_scope=Seoul HQ, Singapore customer success office, and Austin partnership desk.</w:t>
      </w:r>
    </w:p>
    <w:p>
      <w:r>
        <w:t>Contract type: Master Services Agreement. Scope covers confidentiality, service acceptance, liability boundaries, data processing, partner handoff, and exception routing for DocuLens AI.</w:t>
      </w:r>
    </w:p>
    <w:p>
      <w:pPr>
        <w:pStyle w:val="Heading1"/>
      </w:pPr>
      <w:r>
        <w:t>Terms</w:t>
      </w:r>
    </w:p>
    <w:p>
      <w:r>
        <w:t>Legal owns redlines, Security owns DPA exhibits, CS owns acceptance evidence, and Product confirms that LaunchOps references do not create unsupported commitments.</w:t>
      </w:r>
    </w:p>
    <w:p>
      <w:pPr>
        <w:pStyle w:val="Heading1"/>
      </w:pPr>
      <w:r>
        <w:t>Controls</w:t>
      </w:r>
    </w:p>
    <w:p>
      <w:r>
        <w:t>Exception process requires rationale, compensating control, owner, expiration date, and account record update. Mission reference: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