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clause-309fe1, variance-fe1c61, citation-c61076, owner-0766fe, owner-6fe68c, reviewer-68c92b, owner-92bf79, margin-f79ef9, exception-ef9f75, exception-f755f2, queue-5f20e5, queue-0e51af, owner-1aff9f, enablement-f9f8a1, enablement-8a12a8, regional-2a81e2, security-1e2acb, account-acba6e, engineering-a6eb72, regional-b72110, support-1105, milestone-5, account-9fe1c6, template-1c6107, variance-10766f, clause-66fe68, policy-e68c92, source-c92bf7, policy-bf79ef, scope-9ef9f7, policy-9f755f, exception-55f20e, scope-20e51a, audit-51aff9, citation-ff9f8a, clause-f8a12a. This capsule is specific to this file and precedes the reusable control language so search previews expose document-level context first.</w:t>
      </w:r>
    </w:p>
    <w:p>
      <w:pPr>
        <w:pStyle w:val="Title"/>
      </w:pPr>
      <w:r>
        <w:t>CivicBridge Agency DocuLens AI Master Services Agreement 2025-11-30</w:t>
      </w:r>
    </w:p>
    <w:p>
      <w:pPr>
        <w:pStyle w:val="Heading1"/>
      </w:pPr>
      <w:r>
        <w:t>Summary</w:t>
      </w:r>
    </w:p>
    <w:p>
      <w:r>
        <w:t>The document answers a simple governance question: who decides, who verifies the source, and what happens when the workflow produces an exception. Evidence marker NF-7818; customer=CivicBridge Agency; industry=local government; product=DocuLens AI; companion_product=LaunchOps; office_scope=Seoul HQ, Singapore customer success office, and Austin partnership desk.</w:t>
      </w:r>
    </w:p>
    <w:p>
      <w:r>
        <w:t>Contract type: Master Services Agreement. Scope covers confidentiality, service acceptance, liability boundaries, data processing, partner handoff, and exception routing for DocuLens AI.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LaunchOps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