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clause-34d481, source-481e6a, control-e6a1ab, latency-1ab1e2, readiness-1e20e8, reviewer-0e85c3, evidence-5c360c, margin-60c711, owner-711d9f, workflow-d9ff9b, evidence-f9be77, customer-e7793e, margin-93ee7c, engineering-e7c683, forecast-683fe9, control-fe929f, executive-29f987, legal-987216, product-216a35, support-a35603, product-6037, engineering-7, customer-d481e6, policy-1e6a1a, support-a1ab1e, finance-b1e20e, engineering-20e85c, clause-85c360, adoption-360c71, latency-c711d9, budget-1d9ff9, clause-ff9be7, reviewer-be7793, workflow-793ee7, launch-ee7c68, source-c683fe. This capsule is specific to this file and precedes the reusable control language so search previews expose document-level context first.</w:t>
      </w:r>
    </w:p>
    <w:p>
      <w:pPr>
        <w:pStyle w:val="Title"/>
      </w:pPr>
      <w:r>
        <w:t>Harbor Nine InsightBridge Service Schedule 2025-11-30</w:t>
      </w:r>
    </w:p>
    <w:p>
      <w:pPr>
        <w:pStyle w:val="Heading1"/>
      </w:pPr>
      <w:r>
        <w:t>Summary</w:t>
      </w:r>
    </w:p>
    <w:p>
      <w:r>
        <w:t>The sample reflects a quarterly planning moment where NuriFlow had to connect product launch activity with ARR quality and customer trust. Evidence marker NF-4851; customer=Harbor Nine; industry=maritime services; product=InsightBridge; companion_product=Marketplace Preview; office_scope=Seoul HQ, Singapore customer success office, and Austin partnership desk.</w:t>
      </w:r>
    </w:p>
    <w:p>
      <w:r>
        <w:t>Contract type: Service Schedule. Scope covers confidentiality, service acceptance, liability boundaries, data processing, partner handoff, and exception routing for InsightBridge.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Marketplace Preview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