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2025-11-30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reviewer-6b413a, readiness-13a525, reviewer-5259b5, launch-9b59f2, latency-9f2b0b, control-b0b20b, citation-20ba52, exception-a52aa3, margin-aa3be4, owner-be4a66, regional-a66664, forecast-664c59, regional-c590a1, enablement-0a1dbd, forecast-dbdf0d, finance-f0d4c3, forecast-4c3d6d, enablement-d6d648, evidence-648e9f, deadline-e9fe21, support-e214, support-4, engineering-413a52, legal-a5259b, scope-59b59f, policy-59f2b0, account-2b0b20, variance-b20ba5, source-ba52aa, audit-2aa3be, clause-3be4a6, adoption-4a6666, variance-6664c5, renewal-4c590a, clause-90a1db, renewal-1dbdf0. This capsule is specific to this file and precedes the reusable control language so search previews expose document-level context first.</w:t>
      </w:r>
    </w:p>
    <w:p>
      <w:pPr>
        <w:pStyle w:val="Title"/>
      </w:pPr>
      <w:r>
        <w:t>Nova Clinic Group Marketplace Preview Partnership Agreement 2025-11-30</w:t>
      </w:r>
    </w:p>
    <w:p>
      <w:pPr>
        <w:pStyle w:val="Heading1"/>
      </w:pPr>
      <w:r>
        <w:t>Summary</w:t>
      </w:r>
    </w:p>
    <w:p>
      <w:r>
        <w:t>The author rewrote the front matter after finding duplicated summary language, prioritizing concrete names, dates, clauses, and measurable workflow outcomes. Evidence marker NF-0261; customer=Nova Clinic Group; industry=clinical operations; product=Marketplace Preview; companion_product=DocuLens AI; office_scope=Seoul HQ, Singapore customer success office, and Austin partnership desk.</w:t>
      </w:r>
    </w:p>
    <w:p>
      <w:r>
        <w:t>Contract type: Partnership Agreement. Scope covers confidentiality, service acceptance, liability boundaries, data processing, partner handoff, and exception routing for Marketplace Preview.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DocuLens AI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