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Contract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10-Contracts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10-contracts, contract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2025-11-30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Legal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variance-135fc2, launch-fc24e8, latency-4e8638, owner-63866e, forecast-66e15a, latency-15a113, workflow-1139b9, regional-9b9e71, forecast-e71c1b, control-c1b102, margin-102cb7, deadline-cb7e00, owner-e00313, deadline-3131a3, enablement-1a357a, forecast-57a439, regional-4394f0, engineering-4f0e0e, deadline-e0ea22, evidence-a22c37, product-c37b, executive-b, audit-5fc24e, template-24e863, variance-863866, template-866e15, engineering-e15a11, renewal-a1139b, account-39b9e7, clause-9e71c1, support-1c1b10, support-b102cb, scope-2cb7e0, budget-7e0031, budget-03131a, source-31a357. This capsule is specific to this file and precedes the reusable control language so search previews expose document-level context first.</w:t>
      </w:r>
    </w:p>
    <w:p>
      <w:pPr>
        <w:pStyle w:val="Title"/>
      </w:pPr>
      <w:r>
        <w:t>Contour Retail InsightBridge Service Schedule 2025-11-30</w:t>
      </w:r>
    </w:p>
    <w:p>
      <w:pPr>
        <w:pStyle w:val="Heading1"/>
      </w:pPr>
      <w:r>
        <w:t>Summary</w:t>
      </w:r>
    </w:p>
    <w:p>
      <w:r>
        <w:t>The review trail shows an implementation team moving from generic enablement notes to customer-specific milestones, evidence owners, and approval gates. Evidence marker NF-4652; customer=Contour Retail; industry=specialty retail; product=InsightBridge; companion_product=Marketplace Preview; office_scope=Seoul HQ, Singapore customer success office, and Austin partnership desk.</w:t>
      </w:r>
    </w:p>
    <w:p>
      <w:r>
        <w:t>Contract type: Service Schedule. Scope covers confidentiality, service acceptance, liability boundaries, data processing, partner handoff, and exception routing for InsightBridge.</w:t>
      </w:r>
    </w:p>
    <w:p>
      <w:pPr>
        <w:pStyle w:val="Heading1"/>
      </w:pPr>
      <w:r>
        <w:t>Terms</w:t>
      </w:r>
    </w:p>
    <w:p>
      <w:r>
        <w:t>Legal owns redlines, Security owns DPA exhibits, CS owns acceptance evidence, and Product confirms that Marketplace Preview references do not create unsupported commitments.</w:t>
      </w:r>
    </w:p>
    <w:p>
      <w:pPr>
        <w:pStyle w:val="Heading1"/>
      </w:pPr>
      <w:r>
        <w:t>Controls</w:t>
      </w:r>
    </w:p>
    <w:p>
      <w:r>
        <w:t>Exception process requires rationale, compensating control, owner, expiration date, and account record update. Mission reference: teams should spend less time chasing documents and more time making decisions.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