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10-Contracts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10-contracts, contract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2025-11-30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Legal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launch-419186, renewal-186e60, citation-e60c1d, launch-c1d14d, readiness-14de09, citation-e0980d, evidence-80d3cd, margin-3cd045, budget-045bab, regional-bab74f, citation-74fa3c, security-a3cd1a, margin-d1a380, queue-380a72, engineering-a7229d, account-29d418, forecast-418d88, finance-d88be6, finance-be69b4, deadline-9b4520, audit-5202, security-2, scope-9186e6, milestone-6e60c1, security-0c1d14, account-d14de0, support-de0980, variance-980d3c, variance-d3cd04, clause-d045ba, adoption-5bab74, policy-b74fa3, workflow-fa3cd1, reviewer-cd1a38, adoption-a380a7, workflow-0a7229. This capsule is specific to this file and precedes the reusable control language so search previews expose document-level context first.</w:t>
      </w:r>
    </w:p>
    <w:p>
      <w:pPr>
        <w:pStyle w:val="Title"/>
      </w:pPr>
      <w:r>
        <w:t>Gaia Power LaunchOps Data Processing Addendum 2025-11-30</w:t>
      </w:r>
    </w:p>
    <w:p>
      <w:pPr>
        <w:pStyle w:val="Heading1"/>
      </w:pPr>
      <w:r>
        <w:t>Summary</w:t>
      </w:r>
    </w:p>
    <w:p>
      <w:r>
        <w:t>The document is anchored in Seoul HQ operating cadence but includes Singapore and Austin dependencies where regional teams own customer-facing follow-through. Evidence marker NF-3459; customer=Gaia Power; industry=energy operations; product=LaunchOps; companion_product=FlowDesk; office_scope=Seoul HQ, Singapore customer success office, and Austin partnership desk.</w:t>
      </w:r>
    </w:p>
    <w:p>
      <w:r>
        <w:t>Contract type: Data Processing Addendum. Scope covers confidentiality, service acceptance, liability boundaries, data processing, partner handoff, and exception routing for LaunchOps.</w:t>
      </w:r>
    </w:p>
    <w:p>
      <w:pPr>
        <w:pStyle w:val="Heading1"/>
      </w:pPr>
      <w:r>
        <w:t>Terms</w:t>
      </w:r>
    </w:p>
    <w:p>
      <w:r>
        <w:t>Legal owns redlines, Security owns DPA exhibits, CS owns acceptance evidence, and Product confirms that FlowDesk references do not create unsupported commitments.</w:t>
      </w:r>
    </w:p>
    <w:p>
      <w:pPr>
        <w:pStyle w:val="Heading1"/>
      </w:pPr>
      <w:r>
        <w:t>Controls</w:t>
      </w:r>
    </w:p>
    <w:p>
      <w:r>
        <w:t>Exception process requires rationale, compensating control, owner, expiration date, and account record update. Mission reference: teams should spend less time chasing documents and more time making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