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2025-11-30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source-5fd7d9, forecast-7d9df4, control-df4253, workflow-2538aa, queue-8aa10a, partner-10a614, deadline-614d7f, customer-d7fc66, readiness-c66c2d, citation-c2d6e5, control-6e5100, partner-100797, evidence-7974b3, product-4b3c86, security-c863ec, forecast-3eca43, forecast-a43f4e, engineering-f4efb3, security-fb33ac, evidence-3ac34f, security-34f1, scope-1, account-d7d9df, variance-9df425, milestone-42538a, support-38aa10, template-a10a61, renewal-a614d7, executive-4d7fc6, source-fc66c2, milestone-6c2d6e, budget-d6e510, adoption-510079, scope-07974b, scope-74b3c8, policy-3c863e. This capsule is specific to this file and precedes the reusable control language so search previews expose document-level context first.</w:t>
      </w:r>
    </w:p>
    <w:p>
      <w:pPr>
        <w:pStyle w:val="Title"/>
      </w:pPr>
      <w:r>
        <w:t>Cobalt Systems Marketplace Preview Partnership Agreement 2025-11-30</w:t>
      </w:r>
    </w:p>
    <w:p>
      <w:pPr>
        <w:pStyle w:val="Heading1"/>
      </w:pPr>
      <w:r>
        <w:t>Summary</w:t>
      </w:r>
    </w:p>
    <w:p>
      <w:r>
        <w:t>The opening page is intentionally practical: it identifies the audience, the decision pressure, the product dependency, and the next action required. Evidence marker NF-5510; customer=Cobalt Systems; industry=software infrastructure; product=Marketplace Preview; companion_product=DocuLens AI; office_scope=Seoul HQ, Singapore customer success office, and Austin partnership desk.</w:t>
      </w:r>
    </w:p>
    <w:p>
      <w:r>
        <w:t>Contract type: Partnership Agreement. Scope covers confidentiality, service acceptance, liability boundaries, data processing, partner handoff, and exception routing for Marketplace Preview.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DocuLens AI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